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7581B" w14:textId="032C2DB3" w:rsidR="00972241" w:rsidRDefault="00994B96">
      <w:pPr>
        <w:rPr>
          <w:u w:val="single"/>
        </w:rPr>
      </w:pPr>
      <w:r w:rsidRPr="00994B96">
        <w:rPr>
          <w:u w:val="single"/>
        </w:rPr>
        <w:t>Updates for posting</w:t>
      </w:r>
      <w:r w:rsidR="00622FEF">
        <w:rPr>
          <w:u w:val="single"/>
        </w:rPr>
        <w:t xml:space="preserve"> – Current </w:t>
      </w:r>
      <w:r w:rsidR="00672BE0">
        <w:rPr>
          <w:u w:val="single"/>
        </w:rPr>
        <w:t xml:space="preserve">through 2025 Advance Sheets and </w:t>
      </w:r>
      <w:r w:rsidR="003815B7">
        <w:rPr>
          <w:u w:val="single"/>
        </w:rPr>
        <w:t xml:space="preserve">2026 </w:t>
      </w:r>
      <w:r w:rsidR="00672BE0">
        <w:rPr>
          <w:u w:val="single"/>
        </w:rPr>
        <w:t xml:space="preserve">Advance Sheet </w:t>
      </w:r>
      <w:r w:rsidR="00622FEF">
        <w:rPr>
          <w:u w:val="single"/>
        </w:rPr>
        <w:t>through</w:t>
      </w:r>
      <w:r w:rsidR="003815B7">
        <w:rPr>
          <w:u w:val="single"/>
        </w:rPr>
        <w:t xml:space="preserve"> #4 January 28, 2026</w:t>
      </w:r>
      <w:r w:rsidR="00622FEF">
        <w:rPr>
          <w:u w:val="single"/>
        </w:rPr>
        <w:t xml:space="preserve"> </w:t>
      </w:r>
    </w:p>
    <w:p w14:paraId="464EDDCC" w14:textId="58707457" w:rsidR="0066036E" w:rsidRPr="002C51A5" w:rsidRDefault="002C51A5">
      <w:r>
        <w:t xml:space="preserve">* Recently added </w:t>
      </w:r>
    </w:p>
    <w:p w14:paraId="7A5E6B89" w14:textId="77777777" w:rsidR="002C51A5" w:rsidRDefault="002C51A5" w:rsidP="0066036E">
      <w:pPr>
        <w:jc w:val="left"/>
        <w:rPr>
          <w:b/>
          <w:bCs/>
        </w:rPr>
      </w:pPr>
    </w:p>
    <w:p w14:paraId="51DE650E" w14:textId="5308241E" w:rsidR="00672BE0" w:rsidRDefault="00672BE0" w:rsidP="0066036E">
      <w:pPr>
        <w:jc w:val="left"/>
        <w:rPr>
          <w:b/>
          <w:bCs/>
        </w:rPr>
      </w:pPr>
      <w:r>
        <w:rPr>
          <w:b/>
          <w:bCs/>
        </w:rPr>
        <w:t>*Rule 1.1 Requirement of Expert Testimony</w:t>
      </w:r>
    </w:p>
    <w:p w14:paraId="634DEBEB" w14:textId="74BCD487" w:rsidR="00672BE0" w:rsidRDefault="00672BE0" w:rsidP="00672BE0">
      <w:pPr>
        <w:jc w:val="left"/>
      </w:pPr>
      <w:r>
        <w:tab/>
      </w:r>
      <w:r w:rsidRPr="00672BE0">
        <w:rPr>
          <w:i/>
          <w:iCs/>
        </w:rPr>
        <w:t>Charles Blanchard Construction Corp., Inc. v. 480 King Street, LLC</w:t>
      </w:r>
      <w:r>
        <w:t xml:space="preserve">, </w:t>
      </w:r>
      <w:r w:rsidR="002C51A5">
        <w:t xml:space="preserve">---- </w:t>
      </w:r>
      <w:r>
        <w:t>(Op. #28312, Jan. 21, 2026) involved a third part complaint by 480 King Street against an architectural firm, Glick/Boehm &amp; Associates, Inc. (“GBA”), which dealt with several issues involving the affidavit of merit required under S.C. Ann. §56-36-100(B) in cases seeking damages for professional negligence against statutorily listed professionals, including architects. The case discussed or established several principles regarding such affidavits.  First, although the opinion is not completely clear on this point, a defendant challenging the affidavit of merit must do so within the time periods set forth in the statute -- typically “</w:t>
      </w:r>
      <w:r w:rsidRPr="0038182F">
        <w:t>by motion to dismiss filed contemporaneously with its initial responsive pleading that the plaintiff has failed to file the requisite affidavit</w:t>
      </w:r>
      <w:r>
        <w:t>, ” S.C. Ann. §56-36-100(C)(1) – but in unusual circumstances the defendant may file a later motion and will not be treated as waiving its rights to object to the affidavit.  In the case the unusual circumstances arose because the expert in the original affidavit purported to offer opinions on breach of the standard of care by architects regarding both design and supervision of construction, but in a deposition taken several years later the expert stated, contrary to his original affidavit, that he was not offering an opinion on architectural design but only on constructions supervision.  As Justice Few stated in his concurring opinion: “We permit the late challenge to the affidavit here – as the majority appropriately states, ‘Under the facts of this case . . .’ because this case presents a truly unique situation.”</w:t>
      </w:r>
    </w:p>
    <w:p w14:paraId="3F608484" w14:textId="77777777" w:rsidR="00672BE0" w:rsidRDefault="00672BE0" w:rsidP="00672BE0">
      <w:pPr>
        <w:jc w:val="left"/>
      </w:pPr>
    </w:p>
    <w:p w14:paraId="74C8963D" w14:textId="1BCC71F0" w:rsidR="00672BE0" w:rsidRDefault="00672BE0" w:rsidP="00672BE0">
      <w:pPr>
        <w:jc w:val="left"/>
      </w:pPr>
      <w:r>
        <w:tab/>
        <w:t>Second, the Court pointed out that a qualified expert under the statute need not be a licensed professional practicing in the same field as the defendant (In fact, under this statutory provision the person offering the affidavit need not be a licensed professional in any field), but instead could be a person “</w:t>
      </w:r>
      <w:r w:rsidRPr="0038182F">
        <w:t>that has scientific, technical, or other specialized knowledge which may assist the trier of fact in understanding the evidence and determining a fact or issue in the case, by reason of the individual's study, experience, or both.</w:t>
      </w:r>
      <w:r>
        <w:t xml:space="preserve">”  S.C. Ann. §56-36-100(A)(3).  An affidavit given by a non-licensed expert must include a description of the person’s credentials and an explanation  of why the person is qualified to render the affidavit of merit. </w:t>
      </w:r>
      <w:r w:rsidRPr="0038182F">
        <w:rPr>
          <w:i/>
          <w:iCs/>
        </w:rPr>
        <w:t>Id.</w:t>
      </w:r>
    </w:p>
    <w:p w14:paraId="4E389DA4" w14:textId="77777777" w:rsidR="00672BE0" w:rsidRDefault="00672BE0" w:rsidP="00672BE0">
      <w:pPr>
        <w:jc w:val="left"/>
      </w:pPr>
    </w:p>
    <w:p w14:paraId="6D04839A" w14:textId="0D3BC395" w:rsidR="00672BE0" w:rsidRDefault="00672BE0" w:rsidP="00672BE0">
      <w:pPr>
        <w:jc w:val="left"/>
      </w:pPr>
      <w:r>
        <w:tab/>
        <w:t xml:space="preserve">Third, the Court held that the affidavit of merit does not apply to claims for breach of contract or breach of warranty unless the factual basis of those claims is professional negligence, in which case the affidavit would be required. </w:t>
      </w:r>
    </w:p>
    <w:p w14:paraId="6139A1C8" w14:textId="77777777" w:rsidR="00672BE0" w:rsidRDefault="00672BE0" w:rsidP="00672BE0">
      <w:pPr>
        <w:jc w:val="left"/>
      </w:pPr>
    </w:p>
    <w:p w14:paraId="7B0052A4" w14:textId="493DAA18" w:rsidR="00672BE0" w:rsidRDefault="00672BE0" w:rsidP="00672BE0">
      <w:pPr>
        <w:jc w:val="left"/>
      </w:pPr>
      <w:r>
        <w:tab/>
        <w:t xml:space="preserve">It should also be noted that the United States Supreme Court in </w:t>
      </w:r>
      <w:r w:rsidRPr="0038182F">
        <w:rPr>
          <w:i/>
          <w:iCs/>
        </w:rPr>
        <w:t>Berk v. Choy</w:t>
      </w:r>
      <w:r>
        <w:t xml:space="preserve">, 607  U.S. </w:t>
      </w:r>
      <w:r w:rsidR="002C51A5">
        <w:t>---</w:t>
      </w:r>
      <w:r>
        <w:t xml:space="preserve"> (2026), ruled that state affidavits of merit are invalid in federal court because they are inconsistent with the federal rules of civil procedure.</w:t>
      </w:r>
    </w:p>
    <w:p w14:paraId="4A806319" w14:textId="77777777" w:rsidR="00D3695D" w:rsidRDefault="00D3695D" w:rsidP="00672BE0">
      <w:pPr>
        <w:jc w:val="left"/>
      </w:pPr>
    </w:p>
    <w:p w14:paraId="5786C0F9" w14:textId="6D2C1C92" w:rsidR="00D3695D" w:rsidRDefault="00D3695D" w:rsidP="00D3695D">
      <w:pPr>
        <w:jc w:val="left"/>
      </w:pPr>
      <w:r>
        <w:tab/>
      </w:r>
      <w:r w:rsidR="00381E5A">
        <w:t>*</w:t>
      </w:r>
      <w:r>
        <w:t xml:space="preserve">In </w:t>
      </w:r>
      <w:r w:rsidRPr="006C1B83">
        <w:rPr>
          <w:i/>
          <w:iCs/>
        </w:rPr>
        <w:t>State v. Harri</w:t>
      </w:r>
      <w:r>
        <w:rPr>
          <w:i/>
          <w:iCs/>
        </w:rPr>
        <w:t>n</w:t>
      </w:r>
      <w:r w:rsidRPr="006C1B83">
        <w:rPr>
          <w:i/>
          <w:iCs/>
        </w:rPr>
        <w:t>gton</w:t>
      </w:r>
      <w:r>
        <w:t xml:space="preserve">, 2026 S.C. App. Lexis 7 (S.C. App. 2026), a criminal case, the Court of Appeals considered the determination of the reliability of the expert’s testimony on footwear size.  The court referred to four factors established by the Supreme Court in </w:t>
      </w:r>
      <w:r w:rsidRPr="006C1B83">
        <w:rPr>
          <w:i/>
          <w:iCs/>
        </w:rPr>
        <w:t>State v. Council</w:t>
      </w:r>
      <w:r>
        <w:t>:</w:t>
      </w:r>
    </w:p>
    <w:p w14:paraId="67A6045E" w14:textId="77777777" w:rsidR="00D3695D" w:rsidRDefault="00D3695D" w:rsidP="00D3695D">
      <w:pPr>
        <w:jc w:val="left"/>
      </w:pPr>
    </w:p>
    <w:p w14:paraId="67028A46" w14:textId="77777777" w:rsidR="00D3695D" w:rsidRDefault="00D3695D" w:rsidP="002C51A5">
      <w:pPr>
        <w:ind w:left="720" w:right="720"/>
        <w:jc w:val="left"/>
      </w:pPr>
      <w:r>
        <w:lastRenderedPageBreak/>
        <w:t>(1) the publications and peer review of the technique; (2) prior application of the method to the type of evidence involved in the case; (3) the quality control procedures used to ensure reliability; and (4) the consistency of the method with recognized scientific laws and procedures.  335 S.C. 1, 19, 515 S.E.2d 508, 517 (1999).</w:t>
      </w:r>
    </w:p>
    <w:p w14:paraId="677F907F" w14:textId="77777777" w:rsidR="00D3695D" w:rsidRDefault="00D3695D" w:rsidP="00D3695D">
      <w:pPr>
        <w:ind w:left="720" w:right="720"/>
        <w:jc w:val="left"/>
      </w:pPr>
    </w:p>
    <w:p w14:paraId="23D735A6" w14:textId="77777777" w:rsidR="00D3695D" w:rsidRPr="006C1B83" w:rsidRDefault="00D3695D" w:rsidP="002C51A5">
      <w:pPr>
        <w:jc w:val="left"/>
      </w:pPr>
      <w:r>
        <w:t xml:space="preserve">The Court of Appeals went on to hold that in applying these factors the expert need not apply the “best method”, only a “reliable method faithfully and reliably applied.”  </w:t>
      </w:r>
      <w:r>
        <w:rPr>
          <w:i/>
          <w:iCs/>
        </w:rPr>
        <w:t xml:space="preserve">Council </w:t>
      </w:r>
      <w:r>
        <w:t>at *20.</w:t>
      </w:r>
    </w:p>
    <w:p w14:paraId="566F4760" w14:textId="77777777" w:rsidR="00672BE0" w:rsidRDefault="00672BE0" w:rsidP="00672BE0">
      <w:pPr>
        <w:jc w:val="left"/>
      </w:pPr>
    </w:p>
    <w:p w14:paraId="7B2E674C" w14:textId="5BD7BD8D" w:rsidR="0066036E" w:rsidRPr="0066036E" w:rsidRDefault="0066036E" w:rsidP="0066036E">
      <w:pPr>
        <w:jc w:val="left"/>
        <w:rPr>
          <w:b/>
          <w:bCs/>
        </w:rPr>
      </w:pPr>
      <w:r>
        <w:rPr>
          <w:b/>
          <w:bCs/>
        </w:rPr>
        <w:t>Rule 1.1 Causation and Damages</w:t>
      </w:r>
    </w:p>
    <w:p w14:paraId="3E3DC260" w14:textId="02C14E3C" w:rsidR="0066036E" w:rsidRDefault="0066036E" w:rsidP="0066036E">
      <w:pPr>
        <w:jc w:val="left"/>
      </w:pPr>
      <w:r w:rsidRPr="00DD45B4">
        <w:rPr>
          <w:rFonts w:cs="Times New Roman"/>
          <w:i/>
          <w:iCs/>
          <w:color w:val="00172E"/>
          <w:bdr w:val="none" w:sz="0" w:space="0" w:color="auto" w:frame="1"/>
          <w:shd w:val="clear" w:color="auto" w:fill="FFFFFF"/>
        </w:rPr>
        <w:t>Marlowe v. S</w:t>
      </w:r>
      <w:r w:rsidRPr="00DD45B4">
        <w:rPr>
          <w:rFonts w:cs="Times New Roman"/>
          <w:i/>
          <w:iCs/>
        </w:rPr>
        <w:t>C</w:t>
      </w:r>
      <w:r w:rsidRPr="007A30CA">
        <w:rPr>
          <w:i/>
          <w:iCs/>
        </w:rPr>
        <w:t>D</w:t>
      </w:r>
      <w:r w:rsidR="00586A5E">
        <w:rPr>
          <w:i/>
          <w:iCs/>
        </w:rPr>
        <w:t>OT</w:t>
      </w:r>
      <w:r w:rsidRPr="007A30CA">
        <w:t xml:space="preserve">, </w:t>
      </w:r>
      <w:r w:rsidR="002C51A5">
        <w:t>446 S.C. 309, 919 S.E.2d 553 (</w:t>
      </w:r>
      <w:r w:rsidRPr="007A30CA">
        <w:t>2025)</w:t>
      </w:r>
      <w:r>
        <w:t xml:space="preserve">.  In an inverse condemnation case in which construction of a new highway allegedly caused flooding of plaintiff’s home, the plaintiff’s expert testimony was insufficient to meet the “most probably” standard for causation; the expert’s testimony that the construction of the highway was a “substantial contributor” or that there was “a possibility” that the construction caused flooding of the plaintiff’s home was insufficient to prevent summary judgment for the defendant. </w:t>
      </w:r>
    </w:p>
    <w:p w14:paraId="767036C7" w14:textId="77777777" w:rsidR="002D05AF" w:rsidRDefault="002D05AF" w:rsidP="0066036E">
      <w:pPr>
        <w:jc w:val="left"/>
      </w:pPr>
    </w:p>
    <w:p w14:paraId="7D301CCF" w14:textId="42495125" w:rsidR="002D05AF" w:rsidRDefault="002D05AF" w:rsidP="0066036E">
      <w:pPr>
        <w:jc w:val="left"/>
      </w:pPr>
      <w:r>
        <w:t xml:space="preserve">In </w:t>
      </w:r>
      <w:r w:rsidRPr="002D05AF">
        <w:rPr>
          <w:i/>
          <w:iCs/>
        </w:rPr>
        <w:t>Carroll v. Isle of Palms Pest Control, Inc.,</w:t>
      </w:r>
      <w:r>
        <w:t xml:space="preserve"> </w:t>
      </w:r>
      <w:r w:rsidR="00F93D5F">
        <w:t xml:space="preserve">446 S.C. 177, 918 S.E.2d 532 (2025), </w:t>
      </w:r>
      <w:r>
        <w:t xml:space="preserve">the Court discussed the scope of the “economic loss rule,” which provides that tort recovery is not available when the only damage is to the product itself.  The rule is designed to draw the boundary between contract and tort. In the opinion the Court noted that it had rejected the application of the economic loss rule “to allow tort recovery of purely commercial losses caused by professionals for breach of their professional duties imposed by law.”  </w:t>
      </w:r>
      <w:r w:rsidRPr="002C51A5">
        <w:rPr>
          <w:i/>
          <w:iCs/>
        </w:rPr>
        <w:t>Id.</w:t>
      </w:r>
      <w:r>
        <w:t xml:space="preserve"> at </w:t>
      </w:r>
      <w:r w:rsidR="00F93D5F">
        <w:t>183, 918 S.E.2d at 535.</w:t>
      </w:r>
    </w:p>
    <w:p w14:paraId="3A313140" w14:textId="77777777" w:rsidR="005956FE" w:rsidRDefault="005956FE" w:rsidP="0066036E">
      <w:pPr>
        <w:jc w:val="left"/>
      </w:pPr>
    </w:p>
    <w:p w14:paraId="457E2956" w14:textId="53ADC594" w:rsidR="004F0B4E" w:rsidRPr="005956FE" w:rsidRDefault="005956FE" w:rsidP="0066036E">
      <w:pPr>
        <w:jc w:val="left"/>
        <w:rPr>
          <w:b/>
          <w:bCs/>
        </w:rPr>
      </w:pPr>
      <w:r>
        <w:rPr>
          <w:b/>
          <w:bCs/>
        </w:rPr>
        <w:t>*</w:t>
      </w:r>
      <w:r w:rsidRPr="005956FE">
        <w:rPr>
          <w:b/>
          <w:bCs/>
        </w:rPr>
        <w:t>Rule 1.5 Contingent Fees for Private Firms hired by the State New Annotation after Contingent Fees in Domestic Relations Matters</w:t>
      </w:r>
    </w:p>
    <w:p w14:paraId="3D1EAE6B" w14:textId="1EC080B8" w:rsidR="005956FE" w:rsidRDefault="005956FE" w:rsidP="005956FE">
      <w:pPr>
        <w:jc w:val="left"/>
      </w:pPr>
      <w:r>
        <w:tab/>
        <w:t xml:space="preserve">In </w:t>
      </w:r>
      <w:r w:rsidRPr="005956FE">
        <w:rPr>
          <w:i/>
          <w:iCs/>
        </w:rPr>
        <w:t>South Carolina Public Interest Foundation v. Wilson</w:t>
      </w:r>
      <w:r w:rsidR="003815B7">
        <w:t>, -- S.C.</w:t>
      </w:r>
      <w:r w:rsidRPr="005956FE">
        <w:rPr>
          <w:i/>
          <w:iCs/>
        </w:rPr>
        <w:t xml:space="preserve"> </w:t>
      </w:r>
      <w:r>
        <w:t>--</w:t>
      </w:r>
      <w:r w:rsidR="003815B7">
        <w:t>, 924 S.E.2d 163</w:t>
      </w:r>
      <w:r>
        <w:t xml:space="preserve"> (2025) the Supreme Court dealt with the enforceability of a contingent fee agreement between the South Carolina Attorney General and a law firm that handled extensive litigation against the United States Department of Energy (DOE) involving defense plutonium and defense plutonium materials that DOE had transported into South Carolina.  The engagement began in 2016; “involved coordinated litigation against the federal government in four cases in three separate federal trial courts across the country, three separate federal appellate courts across the country, and the U.S. Supreme Court”; and lasted for four years until settled with payment to the State of $600 million.  The Attorney General paid the law firm $75 million under the fee agreement, amounting to a 12.5% contingent fee.</w:t>
      </w:r>
    </w:p>
    <w:p w14:paraId="5D161CD4" w14:textId="77777777" w:rsidR="005956FE" w:rsidRDefault="005956FE" w:rsidP="005956FE">
      <w:pPr>
        <w:jc w:val="left"/>
      </w:pPr>
    </w:p>
    <w:p w14:paraId="345CE8AD" w14:textId="77777777" w:rsidR="005956FE" w:rsidRDefault="005956FE" w:rsidP="005956FE">
      <w:pPr>
        <w:jc w:val="left"/>
      </w:pPr>
      <w:r>
        <w:tab/>
        <w:t xml:space="preserve">The Foundation conceded and the Court recognized that the Attorney General had the authority to enter into contingent fee agreements: “Appellants do not challenge the Attorney General's authority to enter into contingent fee agreements with private law firms. Indeed, no provision of law prohibits the Attorney General from doing so, and it has long been common practice for the Attorney General to do so when complex litigation is on the horizon.” </w:t>
      </w:r>
      <w:r>
        <w:tab/>
      </w:r>
    </w:p>
    <w:p w14:paraId="6B5711C2" w14:textId="77777777" w:rsidR="005956FE" w:rsidRDefault="005956FE" w:rsidP="005956FE">
      <w:pPr>
        <w:jc w:val="left"/>
      </w:pPr>
    </w:p>
    <w:p w14:paraId="06512250" w14:textId="77777777" w:rsidR="005956FE" w:rsidRDefault="005956FE" w:rsidP="005956FE">
      <w:pPr>
        <w:jc w:val="left"/>
      </w:pPr>
      <w:r>
        <w:lastRenderedPageBreak/>
        <w:tab/>
        <w:t>However, the plaintiff Foundation challenged the fee payment on several grounds.  First, the Foundation argued that the settlement funds should be paid into the State’s general fund to be allocated by the General Assembly under S.C. Code 1-7-150(B), which provides:</w:t>
      </w:r>
    </w:p>
    <w:p w14:paraId="719DFAA7" w14:textId="77777777" w:rsidR="005956FE" w:rsidRDefault="005956FE" w:rsidP="005956FE">
      <w:pPr>
        <w:jc w:val="left"/>
      </w:pPr>
    </w:p>
    <w:p w14:paraId="54A5BD39" w14:textId="77777777" w:rsidR="005956FE" w:rsidRDefault="005956FE" w:rsidP="005956FE">
      <w:pPr>
        <w:ind w:left="720" w:right="720"/>
        <w:jc w:val="left"/>
      </w:pPr>
      <w:r>
        <w:t xml:space="preserve">All monies, except investigative costs or </w:t>
      </w:r>
      <w:r w:rsidRPr="000454F2">
        <w:rPr>
          <w:i/>
          <w:iCs/>
        </w:rPr>
        <w:t>costs of litigation awarded by court order or settlement</w:t>
      </w:r>
      <w:r>
        <w:t xml:space="preserve">, awarded the State of South Carolina by judgment or settlement in actions or claims brought by the Attorney General on behalf of the State or one of its agencies or departments </w:t>
      </w:r>
      <w:r w:rsidRPr="000454F2">
        <w:rPr>
          <w:i/>
          <w:iCs/>
        </w:rPr>
        <w:t>must be deposited in the general fund of the State</w:t>
      </w:r>
      <w:r>
        <w:t xml:space="preserve">, except for monies recovered for losses or damages to natural resources, which must be deposited in the Mitigation Trust Fund, </w:t>
      </w:r>
      <w:r w:rsidRPr="000454F2">
        <w:rPr>
          <w:i/>
          <w:iCs/>
        </w:rPr>
        <w:t>or where some other disposition is required by law.</w:t>
      </w:r>
      <w:r>
        <w:t xml:space="preserve">  (emphasis in opinion).</w:t>
      </w:r>
    </w:p>
    <w:p w14:paraId="75590467" w14:textId="77777777" w:rsidR="005956FE" w:rsidRDefault="005956FE" w:rsidP="005956FE">
      <w:pPr>
        <w:ind w:left="720" w:right="720"/>
        <w:jc w:val="left"/>
      </w:pPr>
    </w:p>
    <w:p w14:paraId="730AD54E" w14:textId="77777777" w:rsidR="005956FE" w:rsidRDefault="005956FE" w:rsidP="005956FE">
      <w:pPr>
        <w:tabs>
          <w:tab w:val="left" w:pos="9180"/>
        </w:tabs>
        <w:jc w:val="left"/>
      </w:pPr>
      <w:r>
        <w:t>The Court concluded that the payment of fees was pursuant to a settlement because the settlement included the State’s attorneys’ fees and other costs. It should be noted that the Settlement Agreement did not specifically allocate a portion of the settlement for attorney’s fee.</w:t>
      </w:r>
    </w:p>
    <w:p w14:paraId="01A61524" w14:textId="77777777" w:rsidR="005956FE" w:rsidRDefault="005956FE" w:rsidP="005956FE">
      <w:pPr>
        <w:tabs>
          <w:tab w:val="left" w:pos="720"/>
          <w:tab w:val="left" w:pos="9180"/>
        </w:tabs>
        <w:jc w:val="left"/>
      </w:pPr>
      <w:r>
        <w:t>The Court also held that the payment was “required by law,” because the Attorney General had a valid contract with the law firm and “enforcement of a valid contract is required by law.”  The Court noted that the fee agreement complied with South Caroliina Rule of Professional Conduct 1.5(c), dealing with contingent fees.  Finally, the Court rejected the Foundation’s argument that the fee amount was unreasonable because “judicial determination of the reasonableness of the fee would violate the separation of powers provision in article I, section 8.”  Since the Attorney General had determined that the fee was reasonable, the Court would invade the constitutional power of the executive branch to reject his determination.  The Court did note that the General Assembly had sometimes granted courts the authority to determine the reasonableness of fees.  See note 4.  While the language of the Court is broad, it probably did not intend to hold that courts did not have the authority to determine the reasonableness of fees in private litigation where a branch of the government is not involved.  In addition, based on the history of the case, the Court found that the fee amount was reasonable.</w:t>
      </w:r>
    </w:p>
    <w:p w14:paraId="264AAF58" w14:textId="77777777" w:rsidR="005956FE" w:rsidRDefault="005956FE" w:rsidP="0066036E">
      <w:pPr>
        <w:jc w:val="left"/>
      </w:pPr>
    </w:p>
    <w:p w14:paraId="0EA2EA22" w14:textId="063E9669" w:rsidR="004F0B4E" w:rsidRPr="004F0B4E" w:rsidRDefault="004F0B4E" w:rsidP="0066036E">
      <w:pPr>
        <w:jc w:val="left"/>
        <w:rPr>
          <w:b/>
          <w:bCs/>
        </w:rPr>
      </w:pPr>
      <w:r w:rsidRPr="004F0B4E">
        <w:rPr>
          <w:b/>
          <w:bCs/>
        </w:rPr>
        <w:t>Rule 1.6 Disclosure in Lawyer’s Self-Defense</w:t>
      </w:r>
    </w:p>
    <w:p w14:paraId="3483EB09" w14:textId="53449900" w:rsidR="004F0B4E" w:rsidRDefault="004F0B4E" w:rsidP="0066036E">
      <w:pPr>
        <w:jc w:val="left"/>
      </w:pPr>
      <w:r>
        <w:t xml:space="preserve">In </w:t>
      </w:r>
      <w:r w:rsidRPr="004F0B4E">
        <w:rPr>
          <w:i/>
          <w:iCs/>
        </w:rPr>
        <w:t>Formal Opinion</w:t>
      </w:r>
      <w:r>
        <w:t xml:space="preserve"> #515 the ABA Committee advised that a</w:t>
      </w:r>
      <w:r>
        <w:rPr>
          <w:rFonts w:eastAsia="Times New Roman" w:cs="Times New Roman"/>
          <w:kern w:val="0"/>
          <w14:ligatures w14:val="none"/>
        </w:rPr>
        <w:t xml:space="preserve"> </w:t>
      </w:r>
      <w:r w:rsidRPr="00147633">
        <w:rPr>
          <w:rFonts w:eastAsia="Times New Roman" w:cs="Times New Roman"/>
          <w:kern w:val="0"/>
          <w14:ligatures w14:val="none"/>
        </w:rPr>
        <w:t>lawyer who is the victim of a crime by a client or prospective client may disclose information relating to the representation (despite the duty of confidentiality in Rule 1.6) via an implicit exception, in order to seek investigation, prosecution, or redress of the crime.</w:t>
      </w:r>
    </w:p>
    <w:p w14:paraId="7F26161E" w14:textId="77777777" w:rsidR="004F0B4E" w:rsidRDefault="004F0B4E" w:rsidP="0066036E">
      <w:pPr>
        <w:jc w:val="left"/>
      </w:pPr>
    </w:p>
    <w:p w14:paraId="2EE39441" w14:textId="736AA4A4" w:rsidR="00147633" w:rsidRPr="00147633" w:rsidRDefault="00147633" w:rsidP="0066036E">
      <w:pPr>
        <w:jc w:val="left"/>
      </w:pPr>
      <w:r>
        <w:rPr>
          <w:b/>
          <w:bCs/>
        </w:rPr>
        <w:t>Rule 1.13 Fairness to Non-Client Constituents Within an Entity Client</w:t>
      </w:r>
    </w:p>
    <w:p w14:paraId="4FFC0443" w14:textId="09AE70B7" w:rsidR="00147633" w:rsidRDefault="00147633" w:rsidP="00147633">
      <w:pPr>
        <w:jc w:val="left"/>
        <w:rPr>
          <w:rFonts w:eastAsia="Times New Roman" w:cs="Times New Roman"/>
          <w:kern w:val="0"/>
          <w14:ligatures w14:val="none"/>
        </w:rPr>
      </w:pPr>
      <w:r>
        <w:t xml:space="preserve">In </w:t>
      </w:r>
      <w:r w:rsidRPr="004F0B4E">
        <w:rPr>
          <w:i/>
          <w:iCs/>
        </w:rPr>
        <w:t>Formal Opinion</w:t>
      </w:r>
      <w:r>
        <w:t xml:space="preserve"> </w:t>
      </w:r>
      <w:r w:rsidR="004F0B4E">
        <w:t>#</w:t>
      </w:r>
      <w:r>
        <w:t>514 the ABA Ethics Committee examined</w:t>
      </w:r>
      <w:r w:rsidR="006665C9">
        <w:t xml:space="preserve"> </w:t>
      </w:r>
      <w:r>
        <w:rPr>
          <w:rFonts w:eastAsia="Times New Roman" w:cs="Times New Roman"/>
          <w:kern w:val="0"/>
          <w14:ligatures w14:val="none"/>
        </w:rPr>
        <w:t>a l</w:t>
      </w:r>
      <w:r w:rsidRPr="00147633">
        <w:rPr>
          <w:rFonts w:eastAsia="Times New Roman" w:cs="Times New Roman"/>
          <w:kern w:val="0"/>
          <w14:ligatures w14:val="none"/>
        </w:rPr>
        <w:t xml:space="preserve">awyer’s obligations when advising an organization about conduct that may implicate individual constituents. </w:t>
      </w:r>
      <w:r>
        <w:rPr>
          <w:rFonts w:eastAsia="Times New Roman" w:cs="Times New Roman"/>
          <w:kern w:val="0"/>
          <w14:ligatures w14:val="none"/>
        </w:rPr>
        <w:t>The opinion e</w:t>
      </w:r>
      <w:r w:rsidRPr="00147633">
        <w:rPr>
          <w:rFonts w:eastAsia="Times New Roman" w:cs="Times New Roman"/>
          <w:kern w:val="0"/>
          <w14:ligatures w14:val="none"/>
        </w:rPr>
        <w:t>mphasize</w:t>
      </w:r>
      <w:r w:rsidR="006665C9">
        <w:rPr>
          <w:rFonts w:eastAsia="Times New Roman" w:cs="Times New Roman"/>
          <w:kern w:val="0"/>
          <w14:ligatures w14:val="none"/>
        </w:rPr>
        <w:t>d</w:t>
      </w:r>
      <w:r w:rsidRPr="00147633">
        <w:rPr>
          <w:rFonts w:eastAsia="Times New Roman" w:cs="Times New Roman"/>
          <w:kern w:val="0"/>
          <w14:ligatures w14:val="none"/>
        </w:rPr>
        <w:t xml:space="preserve"> the need to prevent misunderstandings by the organization’s constituents as to the lawyer’s role</w:t>
      </w:r>
      <w:r w:rsidR="006665C9">
        <w:rPr>
          <w:rFonts w:eastAsia="Times New Roman" w:cs="Times New Roman"/>
          <w:kern w:val="0"/>
          <w14:ligatures w14:val="none"/>
        </w:rPr>
        <w:t xml:space="preserve">, referring to </w:t>
      </w:r>
      <w:r w:rsidRPr="00147633">
        <w:rPr>
          <w:rFonts w:eastAsia="Times New Roman" w:cs="Times New Roman"/>
          <w:kern w:val="0"/>
          <w14:ligatures w14:val="none"/>
        </w:rPr>
        <w:t>Model Rules 1.13(f), 4.1, 4.3.</w:t>
      </w:r>
    </w:p>
    <w:p w14:paraId="431E32F3" w14:textId="77777777" w:rsidR="004F0B4E" w:rsidRDefault="004F0B4E" w:rsidP="00147633">
      <w:pPr>
        <w:jc w:val="left"/>
        <w:rPr>
          <w:rFonts w:eastAsia="Times New Roman" w:cs="Times New Roman"/>
          <w:kern w:val="0"/>
          <w14:ligatures w14:val="none"/>
        </w:rPr>
      </w:pPr>
    </w:p>
    <w:p w14:paraId="16105932" w14:textId="4F8B8296" w:rsidR="004F0B4E" w:rsidRPr="00E936AF" w:rsidRDefault="004F0B4E" w:rsidP="00147633">
      <w:pPr>
        <w:jc w:val="left"/>
        <w:rPr>
          <w:b/>
          <w:bCs/>
        </w:rPr>
      </w:pPr>
      <w:r w:rsidRPr="00E936AF">
        <w:rPr>
          <w:rFonts w:eastAsia="Times New Roman" w:cs="Times New Roman"/>
          <w:b/>
          <w:bCs/>
          <w:kern w:val="0"/>
          <w14:ligatures w14:val="none"/>
        </w:rPr>
        <w:t xml:space="preserve">Rule 1.16 </w:t>
      </w:r>
      <w:r w:rsidR="00E936AF" w:rsidRPr="00E936AF">
        <w:rPr>
          <w:rFonts w:eastAsia="Times New Roman" w:cs="Times New Roman"/>
          <w:b/>
          <w:bCs/>
          <w:kern w:val="0"/>
          <w14:ligatures w14:val="none"/>
        </w:rPr>
        <w:t>Circumstances Justifying Discretionary Withdrawal</w:t>
      </w:r>
    </w:p>
    <w:p w14:paraId="2E421859" w14:textId="0426DC8C" w:rsidR="00147633" w:rsidRDefault="00E936AF" w:rsidP="00E936AF">
      <w:pPr>
        <w:jc w:val="left"/>
      </w:pPr>
      <w:r>
        <w:rPr>
          <w:rFonts w:eastAsia="Times New Roman" w:cs="Times New Roman"/>
          <w:kern w:val="0"/>
          <w14:ligatures w14:val="none"/>
        </w:rPr>
        <w:t xml:space="preserve">ABA </w:t>
      </w:r>
      <w:r w:rsidRPr="00E936AF">
        <w:rPr>
          <w:rFonts w:eastAsia="Times New Roman" w:cs="Times New Roman"/>
          <w:i/>
          <w:iCs/>
          <w:kern w:val="0"/>
          <w14:ligatures w14:val="none"/>
        </w:rPr>
        <w:t>Formal Opinion</w:t>
      </w:r>
      <w:r>
        <w:rPr>
          <w:rFonts w:eastAsia="Times New Roman" w:cs="Times New Roman"/>
          <w:kern w:val="0"/>
          <w14:ligatures w14:val="none"/>
        </w:rPr>
        <w:t xml:space="preserve"> #515 c</w:t>
      </w:r>
      <w:r w:rsidRPr="00147633">
        <w:rPr>
          <w:rFonts w:eastAsia="Times New Roman" w:cs="Times New Roman"/>
          <w:kern w:val="0"/>
          <w14:ligatures w14:val="none"/>
        </w:rPr>
        <w:t xml:space="preserve">larifies the meaning of “material adverse effect” under Model Rule 1.16(b)(1) for permissive withdrawal. </w:t>
      </w:r>
      <w:r>
        <w:rPr>
          <w:rFonts w:eastAsia="Times New Roman" w:cs="Times New Roman"/>
          <w:kern w:val="0"/>
          <w14:ligatures w14:val="none"/>
        </w:rPr>
        <w:t xml:space="preserve">The opinion specifies </w:t>
      </w:r>
      <w:r w:rsidRPr="00147633">
        <w:rPr>
          <w:rFonts w:eastAsia="Times New Roman" w:cs="Times New Roman"/>
          <w:kern w:val="0"/>
          <w14:ligatures w14:val="none"/>
        </w:rPr>
        <w:t xml:space="preserve">circumstances under which withdrawal is ethically permissible (e.g. </w:t>
      </w:r>
      <w:r>
        <w:rPr>
          <w:rFonts w:eastAsia="Times New Roman" w:cs="Times New Roman"/>
          <w:kern w:val="0"/>
          <w14:ligatures w14:val="none"/>
        </w:rPr>
        <w:t xml:space="preserve">when there is </w:t>
      </w:r>
      <w:r w:rsidRPr="00147633">
        <w:rPr>
          <w:rFonts w:eastAsia="Times New Roman" w:cs="Times New Roman"/>
          <w:kern w:val="0"/>
          <w14:ligatures w14:val="none"/>
        </w:rPr>
        <w:t>no significant harm to the client’s matter</w:t>
      </w:r>
      <w:r>
        <w:rPr>
          <w:rFonts w:eastAsia="Times New Roman" w:cs="Times New Roman"/>
          <w:kern w:val="0"/>
          <w14:ligatures w14:val="none"/>
        </w:rPr>
        <w:t xml:space="preserve"> </w:t>
      </w:r>
      <w:r w:rsidRPr="00147633">
        <w:rPr>
          <w:rFonts w:eastAsia="Times New Roman" w:cs="Times New Roman"/>
          <w:kern w:val="0"/>
          <w14:ligatures w14:val="none"/>
        </w:rPr>
        <w:t xml:space="preserve">or </w:t>
      </w:r>
      <w:r>
        <w:rPr>
          <w:rFonts w:eastAsia="Times New Roman" w:cs="Times New Roman"/>
          <w:kern w:val="0"/>
          <w14:ligatures w14:val="none"/>
        </w:rPr>
        <w:t xml:space="preserve">the attorney is able to mitigate any </w:t>
      </w:r>
      <w:r w:rsidRPr="00147633">
        <w:rPr>
          <w:rFonts w:eastAsia="Times New Roman" w:cs="Times New Roman"/>
          <w:kern w:val="0"/>
          <w14:ligatures w14:val="none"/>
        </w:rPr>
        <w:t>adverse effects</w:t>
      </w:r>
      <w:r>
        <w:rPr>
          <w:rFonts w:eastAsia="Times New Roman" w:cs="Times New Roman"/>
          <w:kern w:val="0"/>
          <w14:ligatures w14:val="none"/>
        </w:rPr>
        <w:t xml:space="preserve"> of the withdrawal</w:t>
      </w:r>
      <w:r w:rsidRPr="00147633">
        <w:rPr>
          <w:rFonts w:eastAsia="Times New Roman" w:cs="Times New Roman"/>
          <w:kern w:val="0"/>
          <w14:ligatures w14:val="none"/>
        </w:rPr>
        <w:t>).</w:t>
      </w:r>
    </w:p>
    <w:p w14:paraId="294E6902" w14:textId="77777777" w:rsidR="00E936AF" w:rsidRDefault="00E936AF"/>
    <w:p w14:paraId="177C78FD" w14:textId="3F380A8F" w:rsidR="004911D0" w:rsidRPr="004911D0" w:rsidRDefault="004911D0" w:rsidP="00994B96">
      <w:pPr>
        <w:jc w:val="left"/>
        <w:rPr>
          <w:rFonts w:cs="Times New Roman"/>
          <w:color w:val="00172E"/>
          <w:bdr w:val="none" w:sz="0" w:space="0" w:color="auto" w:frame="1"/>
          <w:shd w:val="clear" w:color="auto" w:fill="FFFFFF"/>
        </w:rPr>
      </w:pPr>
      <w:r w:rsidRPr="004911D0">
        <w:rPr>
          <w:rFonts w:cs="Times New Roman"/>
          <w:b/>
          <w:bCs/>
          <w:color w:val="00172E"/>
          <w:bdr w:val="none" w:sz="0" w:space="0" w:color="auto" w:frame="1"/>
          <w:shd w:val="clear" w:color="auto" w:fill="FFFFFF"/>
        </w:rPr>
        <w:t>Rule 3.1 Non-Meritorious Assertions in Litigation</w:t>
      </w:r>
    </w:p>
    <w:p w14:paraId="533491F7" w14:textId="1BF16A01" w:rsidR="000F3476" w:rsidRDefault="002E5373" w:rsidP="00994B96">
      <w:pPr>
        <w:jc w:val="left"/>
        <w:rPr>
          <w:rFonts w:cs="Times New Roman"/>
          <w:color w:val="00172E"/>
          <w:bdr w:val="none" w:sz="0" w:space="0" w:color="auto" w:frame="1"/>
          <w:shd w:val="clear" w:color="auto" w:fill="FFFFFF"/>
        </w:rPr>
      </w:pPr>
      <w:r w:rsidRPr="00C339E3">
        <w:rPr>
          <w:rFonts w:cs="Times New Roman"/>
          <w:i/>
          <w:iCs/>
          <w:color w:val="00172E"/>
          <w:bdr w:val="none" w:sz="0" w:space="0" w:color="auto" w:frame="1"/>
          <w:shd w:val="clear" w:color="auto" w:fill="FFFFFF"/>
        </w:rPr>
        <w:t>Hood v. United Servs. Auto Ass'n</w:t>
      </w:r>
      <w:r w:rsidRPr="00C339E3">
        <w:rPr>
          <w:rFonts w:cs="Times New Roman"/>
          <w:color w:val="00172E"/>
          <w:bdr w:val="none" w:sz="0" w:space="0" w:color="auto" w:frame="1"/>
          <w:shd w:val="clear" w:color="auto" w:fill="FFFFFF"/>
        </w:rPr>
        <w:t>, 445 S.C. 1, 910 S.E.2d 767 (2025)</w:t>
      </w:r>
      <w:r w:rsidR="00701EE8" w:rsidRPr="00C339E3">
        <w:rPr>
          <w:rFonts w:cs="Times New Roman"/>
          <w:color w:val="00172E"/>
          <w:bdr w:val="none" w:sz="0" w:space="0" w:color="auto" w:frame="1"/>
          <w:shd w:val="clear" w:color="auto" w:fill="FFFFFF"/>
        </w:rPr>
        <w:t xml:space="preserve"> is an important case on the liability and obligations of insurers in defending first party insurance claims.  Hood was involved in a three-car accident and was a defendant in one action arising from the accident; USAA provided defense counsel to Hood </w:t>
      </w:r>
      <w:r w:rsidR="00F65C99" w:rsidRPr="00C339E3">
        <w:rPr>
          <w:rFonts w:cs="Times New Roman"/>
          <w:color w:val="00172E"/>
          <w:bdr w:val="none" w:sz="0" w:space="0" w:color="auto" w:frame="1"/>
          <w:shd w:val="clear" w:color="auto" w:fill="FFFFFF"/>
        </w:rPr>
        <w:t>in that case.</w:t>
      </w:r>
      <w:r w:rsidR="00701EE8" w:rsidRPr="00C339E3">
        <w:rPr>
          <w:rFonts w:cs="Times New Roman"/>
          <w:color w:val="00172E"/>
          <w:bdr w:val="none" w:sz="0" w:space="0" w:color="auto" w:frame="1"/>
          <w:shd w:val="clear" w:color="auto" w:fill="FFFFFF"/>
        </w:rPr>
        <w:t xml:space="preserve">  The main issue in th</w:t>
      </w:r>
      <w:r w:rsidR="00F65C99" w:rsidRPr="00C339E3">
        <w:rPr>
          <w:rFonts w:cs="Times New Roman"/>
          <w:color w:val="00172E"/>
          <w:bdr w:val="none" w:sz="0" w:space="0" w:color="auto" w:frame="1"/>
          <w:shd w:val="clear" w:color="auto" w:fill="FFFFFF"/>
        </w:rPr>
        <w:t>at</w:t>
      </w:r>
      <w:r w:rsidR="00701EE8" w:rsidRPr="00C339E3">
        <w:rPr>
          <w:rFonts w:cs="Times New Roman"/>
          <w:color w:val="00172E"/>
          <w:bdr w:val="none" w:sz="0" w:space="0" w:color="auto" w:frame="1"/>
          <w:shd w:val="clear" w:color="auto" w:fill="FFFFFF"/>
        </w:rPr>
        <w:t xml:space="preserve"> case regarding Hood’s liability was whether she had her headlights on when the accident occurred. Hood through her counsel presented direct and expert evidence that her headlights were on. Hood brought a separate action against the driver of another vehicle involved in the accident</w:t>
      </w:r>
      <w:r w:rsidR="00F65C99" w:rsidRPr="00C339E3">
        <w:rPr>
          <w:rFonts w:cs="Times New Roman"/>
          <w:color w:val="00172E"/>
          <w:bdr w:val="none" w:sz="0" w:space="0" w:color="auto" w:frame="1"/>
          <w:shd w:val="clear" w:color="auto" w:fill="FFFFFF"/>
        </w:rPr>
        <w:t xml:space="preserve">.  The insurer for that driver tendered its full policy limits, and Hood’s insurer, USAA, </w:t>
      </w:r>
      <w:r w:rsidR="00564CB0" w:rsidRPr="00C339E3">
        <w:rPr>
          <w:rFonts w:cs="Times New Roman"/>
          <w:color w:val="00172E"/>
          <w:bdr w:val="none" w:sz="0" w:space="0" w:color="auto" w:frame="1"/>
          <w:shd w:val="clear" w:color="auto" w:fill="FFFFFF"/>
        </w:rPr>
        <w:t xml:space="preserve">handled </w:t>
      </w:r>
      <w:r w:rsidR="00F65C99" w:rsidRPr="00C339E3">
        <w:rPr>
          <w:rFonts w:cs="Times New Roman"/>
          <w:color w:val="00172E"/>
          <w:bdr w:val="none" w:sz="0" w:space="0" w:color="auto" w:frame="1"/>
          <w:shd w:val="clear" w:color="auto" w:fill="FFFFFF"/>
        </w:rPr>
        <w:t>defense of Hood’s UIM claim; the policy limit for that claim was $1 million. Mediation did not produce a settlement, and the case went to trial with Hood recovering a judgment in excess of $1 million. USAA paid its full policy limit, but Hood brought suit against US</w:t>
      </w:r>
      <w:r w:rsidR="00564CB0" w:rsidRPr="00C339E3">
        <w:rPr>
          <w:rFonts w:cs="Times New Roman"/>
          <w:color w:val="00172E"/>
          <w:bdr w:val="none" w:sz="0" w:space="0" w:color="auto" w:frame="1"/>
          <w:shd w:val="clear" w:color="auto" w:fill="FFFFFF"/>
        </w:rPr>
        <w:t>AA</w:t>
      </w:r>
      <w:r w:rsidR="00F65C99" w:rsidRPr="00C339E3">
        <w:rPr>
          <w:rFonts w:cs="Times New Roman"/>
          <w:color w:val="00172E"/>
          <w:bdr w:val="none" w:sz="0" w:space="0" w:color="auto" w:frame="1"/>
          <w:shd w:val="clear" w:color="auto" w:fill="FFFFFF"/>
        </w:rPr>
        <w:t xml:space="preserve"> for the excess judgment on a number of theories, including negligence and bad faith refusal to settle.</w:t>
      </w:r>
      <w:r w:rsidR="008F0F9D" w:rsidRPr="00C339E3">
        <w:rPr>
          <w:rFonts w:cs="Times New Roman"/>
          <w:color w:val="00172E"/>
          <w:bdr w:val="none" w:sz="0" w:space="0" w:color="auto" w:frame="1"/>
          <w:shd w:val="clear" w:color="auto" w:fill="FFFFFF"/>
        </w:rPr>
        <w:t xml:space="preserve"> </w:t>
      </w:r>
      <w:r w:rsidR="00C8051C" w:rsidRPr="00C339E3">
        <w:rPr>
          <w:rFonts w:cs="Times New Roman"/>
          <w:color w:val="00172E"/>
          <w:bdr w:val="none" w:sz="0" w:space="0" w:color="auto" w:frame="1"/>
          <w:shd w:val="clear" w:color="auto" w:fill="FFFFFF"/>
        </w:rPr>
        <w:t>The</w:t>
      </w:r>
      <w:r w:rsidR="008F0F9D" w:rsidRPr="00C339E3">
        <w:rPr>
          <w:rFonts w:cs="Times New Roman"/>
          <w:color w:val="00172E"/>
          <w:bdr w:val="none" w:sz="0" w:space="0" w:color="auto" w:frame="1"/>
          <w:shd w:val="clear" w:color="auto" w:fill="FFFFFF"/>
        </w:rPr>
        <w:t xml:space="preserve"> principal holding of the case was t</w:t>
      </w:r>
      <w:r w:rsidR="00C8051C" w:rsidRPr="00C339E3">
        <w:rPr>
          <w:rFonts w:cs="Times New Roman"/>
          <w:color w:val="00172E"/>
          <w:bdr w:val="none" w:sz="0" w:space="0" w:color="auto" w:frame="1"/>
          <w:shd w:val="clear" w:color="auto" w:fill="FFFFFF"/>
        </w:rPr>
        <w:t>hat an insured does not have a tort claim for negligence against its insurer</w:t>
      </w:r>
      <w:r w:rsidR="00C339E3">
        <w:rPr>
          <w:rFonts w:cs="Times New Roman"/>
          <w:color w:val="00172E"/>
          <w:bdr w:val="none" w:sz="0" w:space="0" w:color="auto" w:frame="1"/>
          <w:shd w:val="clear" w:color="auto" w:fill="FFFFFF"/>
        </w:rPr>
        <w:t>; i</w:t>
      </w:r>
      <w:r w:rsidR="00C8051C" w:rsidRPr="00C339E3">
        <w:rPr>
          <w:rFonts w:cs="Times New Roman"/>
          <w:color w:val="00172E"/>
          <w:bdr w:val="none" w:sz="0" w:space="0" w:color="auto" w:frame="1"/>
          <w:shd w:val="clear" w:color="auto" w:fill="FFFFFF"/>
        </w:rPr>
        <w:t>nstead, the obligations of the insurer are based solely on the insurance contract</w:t>
      </w:r>
      <w:r w:rsidR="00C339E3">
        <w:rPr>
          <w:rFonts w:cs="Times New Roman"/>
          <w:color w:val="00172E"/>
          <w:bdr w:val="none" w:sz="0" w:space="0" w:color="auto" w:frame="1"/>
          <w:shd w:val="clear" w:color="auto" w:fill="FFFFFF"/>
        </w:rPr>
        <w:t xml:space="preserve">. </w:t>
      </w:r>
      <w:r w:rsidR="00C8051C" w:rsidRPr="00C339E3">
        <w:rPr>
          <w:rFonts w:cs="Times New Roman"/>
          <w:color w:val="00172E"/>
          <w:bdr w:val="none" w:sz="0" w:space="0" w:color="auto" w:frame="1"/>
          <w:shd w:val="clear" w:color="auto" w:fill="FFFFFF"/>
        </w:rPr>
        <w:t xml:space="preserve">An insured does have a </w:t>
      </w:r>
      <w:r w:rsidR="00C339E3" w:rsidRPr="00C339E3">
        <w:rPr>
          <w:rFonts w:cs="Times New Roman"/>
          <w:color w:val="00172E"/>
          <w:bdr w:val="none" w:sz="0" w:space="0" w:color="auto" w:frame="1"/>
          <w:shd w:val="clear" w:color="auto" w:fill="FFFFFF"/>
        </w:rPr>
        <w:t xml:space="preserve">contractual </w:t>
      </w:r>
      <w:r w:rsidR="00C8051C" w:rsidRPr="00C339E3">
        <w:rPr>
          <w:rFonts w:cs="Times New Roman"/>
          <w:color w:val="00172E"/>
          <w:bdr w:val="none" w:sz="0" w:space="0" w:color="auto" w:frame="1"/>
          <w:shd w:val="clear" w:color="auto" w:fill="FFFFFF"/>
        </w:rPr>
        <w:t>claim for bad faith refusal to process or settle a claim</w:t>
      </w:r>
      <w:r w:rsidR="00564CB0" w:rsidRPr="00C339E3">
        <w:rPr>
          <w:rFonts w:cs="Times New Roman"/>
          <w:color w:val="00172E"/>
          <w:bdr w:val="none" w:sz="0" w:space="0" w:color="auto" w:frame="1"/>
          <w:shd w:val="clear" w:color="auto" w:fill="FFFFFF"/>
        </w:rPr>
        <w:t xml:space="preserve"> as recognized by the South Carolina Supreme Court </w:t>
      </w:r>
      <w:r w:rsidR="00564CB0" w:rsidRPr="00C339E3">
        <w:rPr>
          <w:rFonts w:cs="Times New Roman"/>
        </w:rPr>
        <w:t xml:space="preserve">in </w:t>
      </w:r>
      <w:r w:rsidR="00564CB0" w:rsidRPr="00C339E3">
        <w:rPr>
          <w:rFonts w:cs="Times New Roman"/>
          <w:i/>
          <w:iCs/>
        </w:rPr>
        <w:t>Tyger River Pine Co. v. Maryland Cas. Co.,</w:t>
      </w:r>
      <w:r w:rsidR="00564CB0" w:rsidRPr="00C339E3">
        <w:rPr>
          <w:rFonts w:cs="Times New Roman"/>
        </w:rPr>
        <w:t xml:space="preserve"> 170 S.C. 286, 170 S.E. 346 (1933) (third party claims); </w:t>
      </w:r>
      <w:r w:rsidR="00564CB0" w:rsidRPr="00C339E3">
        <w:rPr>
          <w:rFonts w:cs="Times New Roman"/>
          <w:i/>
          <w:iCs/>
        </w:rPr>
        <w:t>Nichols v. State Farm Mut. Auto. Ins.,</w:t>
      </w:r>
      <w:r w:rsidR="00564CB0" w:rsidRPr="00C339E3">
        <w:rPr>
          <w:rFonts w:cs="Times New Roman"/>
        </w:rPr>
        <w:t xml:space="preserve"> 279 S.C. 336, 306 S.E.2d 616 (1983) (first party claims)</w:t>
      </w:r>
      <w:r w:rsidR="00C339E3" w:rsidRPr="00C339E3">
        <w:rPr>
          <w:rFonts w:cs="Times New Roman"/>
        </w:rPr>
        <w:t>.</w:t>
      </w:r>
      <w:r w:rsidR="00C339E3">
        <w:rPr>
          <w:rFonts w:cs="Times New Roman"/>
        </w:rPr>
        <w:t xml:space="preserve">  Evidence of negligence by the insurer is relevant to a bad faith claim, but does not create an independent tort claim. </w:t>
      </w:r>
      <w:r w:rsidR="00C8051C" w:rsidRPr="00C339E3">
        <w:rPr>
          <w:rFonts w:cs="Times New Roman"/>
          <w:color w:val="00172E"/>
          <w:bdr w:val="none" w:sz="0" w:space="0" w:color="auto" w:frame="1"/>
          <w:shd w:val="clear" w:color="auto" w:fill="FFFFFF"/>
        </w:rPr>
        <w:t xml:space="preserve">The court reasoned that an insurer does not have an independent duty to the insured other than the duty arising from the insurance contract, and recognition of a tort claim for negligence would be duplicative of the contract claim for bad faith refusal to settle.  </w:t>
      </w:r>
    </w:p>
    <w:p w14:paraId="3ED6E05E" w14:textId="77777777" w:rsidR="002C51A5" w:rsidRDefault="002C51A5" w:rsidP="00994B96">
      <w:pPr>
        <w:jc w:val="left"/>
        <w:rPr>
          <w:rFonts w:cs="Times New Roman"/>
          <w:color w:val="00172E"/>
          <w:bdr w:val="none" w:sz="0" w:space="0" w:color="auto" w:frame="1"/>
          <w:shd w:val="clear" w:color="auto" w:fill="FFFFFF"/>
        </w:rPr>
      </w:pPr>
    </w:p>
    <w:p w14:paraId="50D75C85" w14:textId="082B425D" w:rsidR="000F3476" w:rsidRDefault="000F3476" w:rsidP="00994B96">
      <w:pPr>
        <w:jc w:val="left"/>
      </w:pPr>
      <w:r>
        <w:rPr>
          <w:rFonts w:cs="Times New Roman"/>
          <w:color w:val="00172E"/>
          <w:bdr w:val="none" w:sz="0" w:space="0" w:color="auto" w:frame="1"/>
          <w:shd w:val="clear" w:color="auto" w:fill="FFFFFF"/>
        </w:rPr>
        <w:tab/>
      </w:r>
      <w:r w:rsidR="00EF037C" w:rsidRPr="00C339E3">
        <w:rPr>
          <w:rFonts w:cs="Times New Roman"/>
          <w:color w:val="00172E"/>
          <w:bdr w:val="none" w:sz="0" w:space="0" w:color="auto" w:frame="1"/>
          <w:shd w:val="clear" w:color="auto" w:fill="FFFFFF"/>
        </w:rPr>
        <w:t xml:space="preserve">While the case contains a number of other points of interest to plaintiffs’ and insurance defense counsel, </w:t>
      </w:r>
      <w:r>
        <w:rPr>
          <w:rFonts w:cs="Times New Roman"/>
          <w:color w:val="00172E"/>
          <w:bdr w:val="none" w:sz="0" w:space="0" w:color="auto" w:frame="1"/>
          <w:shd w:val="clear" w:color="auto" w:fill="FFFFFF"/>
        </w:rPr>
        <w:t>three</w:t>
      </w:r>
      <w:r w:rsidR="00EF037C" w:rsidRPr="00C339E3">
        <w:rPr>
          <w:rFonts w:cs="Times New Roman"/>
          <w:color w:val="00172E"/>
          <w:bdr w:val="none" w:sz="0" w:space="0" w:color="auto" w:frame="1"/>
          <w:shd w:val="clear" w:color="auto" w:fill="FFFFFF"/>
        </w:rPr>
        <w:t xml:space="preserve"> stand out.</w:t>
      </w:r>
      <w:r>
        <w:rPr>
          <w:rFonts w:cs="Times New Roman"/>
          <w:color w:val="00172E"/>
          <w:bdr w:val="none" w:sz="0" w:space="0" w:color="auto" w:frame="1"/>
          <w:shd w:val="clear" w:color="auto" w:fill="FFFFFF"/>
        </w:rPr>
        <w:t xml:space="preserve">  All of these relate to claims for bad faith refusal to settle.  </w:t>
      </w:r>
      <w:r w:rsidR="00EF037C" w:rsidRPr="00C339E3">
        <w:rPr>
          <w:rFonts w:cs="Times New Roman"/>
          <w:color w:val="00172E"/>
          <w:bdr w:val="none" w:sz="0" w:space="0" w:color="auto" w:frame="1"/>
          <w:shd w:val="clear" w:color="auto" w:fill="FFFFFF"/>
        </w:rPr>
        <w:t xml:space="preserve">  First, the USAA did not violate the duty of good faith by </w:t>
      </w:r>
      <w:r>
        <w:rPr>
          <w:rFonts w:cs="Times New Roman"/>
          <w:color w:val="00172E"/>
          <w:bdr w:val="none" w:sz="0" w:space="0" w:color="auto" w:frame="1"/>
          <w:shd w:val="clear" w:color="auto" w:fill="FFFFFF"/>
        </w:rPr>
        <w:t>failing to offer in mediation the amount of its policy reserve for this claim.  When an insurance company takes over defense of a UIM claim</w:t>
      </w:r>
      <w:r w:rsidR="00BF1BDA">
        <w:rPr>
          <w:rFonts w:cs="Times New Roman"/>
          <w:color w:val="00172E"/>
          <w:bdr w:val="none" w:sz="0" w:space="0" w:color="auto" w:frame="1"/>
          <w:shd w:val="clear" w:color="auto" w:fill="FFFFFF"/>
        </w:rPr>
        <w:t>,</w:t>
      </w:r>
      <w:r>
        <w:rPr>
          <w:rFonts w:cs="Times New Roman"/>
          <w:color w:val="00172E"/>
          <w:bdr w:val="none" w:sz="0" w:space="0" w:color="auto" w:frame="1"/>
          <w:shd w:val="clear" w:color="auto" w:fill="FFFFFF"/>
        </w:rPr>
        <w:t xml:space="preserve"> it is acting in its own interest and does not have duties to the insured</w:t>
      </w:r>
      <w:r w:rsidR="006A7FB5">
        <w:rPr>
          <w:rFonts w:cs="Times New Roman"/>
          <w:color w:val="00172E"/>
          <w:bdr w:val="none" w:sz="0" w:space="0" w:color="auto" w:frame="1"/>
          <w:shd w:val="clear" w:color="auto" w:fill="FFFFFF"/>
        </w:rPr>
        <w:t xml:space="preserve"> beyond acting in good faith</w:t>
      </w:r>
      <w:r>
        <w:rPr>
          <w:rFonts w:cs="Times New Roman"/>
          <w:color w:val="00172E"/>
          <w:bdr w:val="none" w:sz="0" w:space="0" w:color="auto" w:frame="1"/>
          <w:shd w:val="clear" w:color="auto" w:fill="FFFFFF"/>
        </w:rPr>
        <w:t xml:space="preserve">.  </w:t>
      </w:r>
      <w:r w:rsidRPr="000F3476">
        <w:t xml:space="preserve">In fact, South Carolina statutory law recognizes this right.  S.C. Code Ann. § 38-77-160 (2015).  </w:t>
      </w:r>
      <w:r w:rsidR="006A7FB5">
        <w:t>In UIM cases c</w:t>
      </w:r>
      <w:r w:rsidRPr="000F3476">
        <w:t>ounsel retained by the UIM carrier represents the insurer and not the insured. </w:t>
      </w:r>
      <w:r>
        <w:t xml:space="preserve">The court agreed with decisions in other jurisdictions that the amount of the policy reserve is not an admission or recognition by the insurer of the value of the claim. </w:t>
      </w:r>
      <w:r w:rsidR="006A7FB5">
        <w:t>Second, USAA did not violate the duty of good faith when its counsel in mediation of the UIM case represented that counsel was offering his full settlement of $200,000, when in fact he had settlement authority of $250,000.  The court stated that the duty of good faith did not require an insurer to offer the full extent of its settlement authority.</w:t>
      </w:r>
      <w:r w:rsidR="00DF25BB">
        <w:t xml:space="preserve"> </w:t>
      </w:r>
      <w:r w:rsidR="006A7FB5">
        <w:t xml:space="preserve"> It should also be noted that counsel for a party does not act unethically in misrepresenting settlement authority because such a representation under conventions of negotiation is not treated as a statement of material fact. See SCRPC 4.1 and cmt. 3. Third</w:t>
      </w:r>
      <w:r w:rsidR="00DF25BB">
        <w:t xml:space="preserve">, USAA did not violate the duty of good faith by arguing in the UIM litigation that Hood’s lights were off when counsel hired by USAA to defend Hood in the action against Hood had argued and offered evidence that her lights were on.  The court concluded that USAA’s conduct was proper.  USAA </w:t>
      </w:r>
      <w:r w:rsidR="007A7256">
        <w:t xml:space="preserve">did not take inconsistent positions because it </w:t>
      </w:r>
      <w:r w:rsidR="00DF25BB">
        <w:t>was not a party to the original tort action, and counsel hired by USAA to represent Hood had a duty to zealously argue the defense favorable to her</w:t>
      </w:r>
      <w:r w:rsidR="007A7256">
        <w:t xml:space="preserve">. </w:t>
      </w:r>
      <w:r w:rsidR="00DF25BB">
        <w:t xml:space="preserve">USAA was a party to the UIM case and had </w:t>
      </w:r>
      <w:r w:rsidR="00DF25BB">
        <w:lastRenderedPageBreak/>
        <w:t xml:space="preserve">the right to raise defenses to protect its interest.  The court pointed out that substantial evidence supported the defense that Hood was at fault because her lights were off, and she even conceded in that action that her lights were off and did not call her expert witness to support an argument that her lights were of.  </w:t>
      </w:r>
    </w:p>
    <w:p w14:paraId="6F3C1B90" w14:textId="77777777" w:rsidR="004911D0" w:rsidRDefault="004911D0" w:rsidP="00994B96">
      <w:pPr>
        <w:jc w:val="left"/>
      </w:pPr>
    </w:p>
    <w:p w14:paraId="341B4109" w14:textId="6E7C3973" w:rsidR="008F0F9D" w:rsidRPr="004911D0" w:rsidRDefault="004911D0" w:rsidP="00994B96">
      <w:pPr>
        <w:jc w:val="left"/>
        <w:rPr>
          <w:b/>
          <w:bCs/>
        </w:rPr>
      </w:pPr>
      <w:r>
        <w:rPr>
          <w:b/>
          <w:bCs/>
        </w:rPr>
        <w:t>Rule 3.4 Knowing Disobedience to Rules of Tribunal</w:t>
      </w:r>
    </w:p>
    <w:p w14:paraId="5EDB154E" w14:textId="565E8DF5" w:rsidR="00A6690C" w:rsidRDefault="00496DCE" w:rsidP="006D0C70">
      <w:pPr>
        <w:jc w:val="left"/>
      </w:pPr>
      <w:r w:rsidRPr="006D0C70">
        <w:rPr>
          <w:i/>
          <w:iCs/>
        </w:rPr>
        <w:t>Innovative Waste Mgmt., Inc. v. Crest Energy Partners GP, LLC</w:t>
      </w:r>
      <w:r w:rsidRPr="006D0C70">
        <w:t>, 445 S.C. 19, 911 S.E.2d 406 (2025)</w:t>
      </w:r>
      <w:r w:rsidR="007A1403" w:rsidRPr="006D0C70">
        <w:t>,</w:t>
      </w:r>
      <w:r w:rsidRPr="006D0C70">
        <w:t xml:space="preserve"> </w:t>
      </w:r>
      <w:r w:rsidR="007A1403" w:rsidRPr="006D0C70">
        <w:t xml:space="preserve">holds that striking of pleadings is a proper sanction for discovery abuse. </w:t>
      </w:r>
      <w:r w:rsidR="008947A2" w:rsidRPr="006D0C70">
        <w:t>The court was clear in holding that a party is not subject to sanctions for discovery abuse because the party moves to quash subpoena</w:t>
      </w:r>
      <w:r w:rsidR="006D0C70" w:rsidRPr="006D0C70">
        <w:t>s</w:t>
      </w:r>
      <w:r w:rsidR="008947A2" w:rsidRPr="006D0C70">
        <w:t xml:space="preserve"> or requests a protective order.</w:t>
      </w:r>
      <w:r w:rsidR="007A1403" w:rsidRPr="006D0C70">
        <w:t xml:space="preserve">  However, in that case the appellants “engaged in a deliberate pattern of discovery abuse,</w:t>
      </w:r>
      <w:r w:rsidR="00812E48">
        <w:t>”</w:t>
      </w:r>
      <w:r w:rsidR="007A1403" w:rsidRPr="006D0C70">
        <w:t xml:space="preserve"> including missing discovery deadlines, failing to comply with motions to compel, and </w:t>
      </w:r>
      <w:r w:rsidR="006D0C70" w:rsidRPr="006D0C70">
        <w:t>dishonoring representations to cooperate in discovery.  Moreover, appellants’ willful noncompliance was a tactic designed to delay and supported the extreme sanction of dismissal of pleadings.</w:t>
      </w:r>
      <w:r w:rsidR="005572AB">
        <w:t xml:space="preserve"> In addition, the failure to appeal prior discovery orders by</w:t>
      </w:r>
      <w:r w:rsidR="001A7EB0">
        <w:t xml:space="preserve"> refusal to</w:t>
      </w:r>
      <w:r w:rsidR="005572AB">
        <w:t xml:space="preserve"> </w:t>
      </w:r>
      <w:r w:rsidR="00523D60">
        <w:t xml:space="preserve">comply with the order and obtain a contempt sanction </w:t>
      </w:r>
      <w:r w:rsidR="005572AB">
        <w:t>constitutes a waiver of the right to appeal and makes those orders the law of the case.</w:t>
      </w:r>
      <w:r w:rsidR="00A6690C">
        <w:t xml:space="preserve">  For discussion of the requirements for sanctions under SCRCP 11 see </w:t>
      </w:r>
      <w:r w:rsidR="00A6690C">
        <w:rPr>
          <w:i/>
          <w:iCs/>
        </w:rPr>
        <w:t xml:space="preserve">Bauknight v. Pope, </w:t>
      </w:r>
      <w:r w:rsidR="00A6690C">
        <w:t>445 S.C. 408, 914 S.E.2d 848 (2025) (holding that Rule 11 is clear that sanctions may be imposed on a party as well as its counsel).</w:t>
      </w:r>
    </w:p>
    <w:p w14:paraId="522414B2" w14:textId="77777777" w:rsidR="00064D53" w:rsidRDefault="00064D53" w:rsidP="006D0C70">
      <w:pPr>
        <w:jc w:val="left"/>
      </w:pPr>
    </w:p>
    <w:p w14:paraId="05DBCF04" w14:textId="5DE2C09A" w:rsidR="00064D53" w:rsidRPr="00064D53" w:rsidRDefault="00064D53" w:rsidP="00064D53">
      <w:pPr>
        <w:jc w:val="left"/>
      </w:pPr>
      <w:r w:rsidRPr="00064D53">
        <w:rPr>
          <w:i/>
          <w:iCs/>
        </w:rPr>
        <w:t>Welch v. Advance Auto. Parts, Inc.</w:t>
      </w:r>
      <w:r w:rsidRPr="00064D53">
        <w:t xml:space="preserve">, </w:t>
      </w:r>
      <w:r w:rsidR="002C51A5">
        <w:t>445 S.C. 640, 916 S.E.2d 320 (</w:t>
      </w:r>
      <w:r w:rsidRPr="00064D53">
        <w:t>2025) is an appeal of discovery orders in a South Carolina asbestos case. The trial court struck defendant’s answer and placed it in default for failure to comply with court</w:t>
      </w:r>
      <w:r>
        <w:t>-</w:t>
      </w:r>
      <w:r w:rsidRPr="00064D53">
        <w:t xml:space="preserve">ordered discovery.  The case is significant in two respects. First, defendant refused to produce a 30(b)(6) (organization) witness.  The </w:t>
      </w:r>
      <w:r w:rsidR="009A043A">
        <w:t>C</w:t>
      </w:r>
      <w:r w:rsidRPr="00064D53">
        <w:t xml:space="preserve">ourt’s decision discusses the purpose and importance of the rule including the obligation of the organization to prepare the witness to testify on the designated subject matter.  Second, defendant claimed that it could not legally comply with the court’s discovery orders because they violated a Quebec “blocking statute.”  The </w:t>
      </w:r>
      <w:r w:rsidR="00BF3BC2">
        <w:t xml:space="preserve">South Carolina </w:t>
      </w:r>
      <w:r w:rsidRPr="00064D53">
        <w:t>Supreme Court</w:t>
      </w:r>
      <w:r w:rsidR="00BF3BC2">
        <w:t>, relying on decisions from the U.S. Supreme Court,</w:t>
      </w:r>
      <w:r w:rsidRPr="00064D53">
        <w:t xml:space="preserve"> held that such statutes did not deprive US courts from ordering and enforcing discovery. </w:t>
      </w:r>
    </w:p>
    <w:p w14:paraId="1D7EC0B1" w14:textId="77777777" w:rsidR="00286B0D" w:rsidRDefault="00286B0D" w:rsidP="006D0C70">
      <w:pPr>
        <w:jc w:val="left"/>
      </w:pPr>
    </w:p>
    <w:p w14:paraId="19C6A291" w14:textId="1E5BD541" w:rsidR="006D0C70" w:rsidRPr="00286B0D" w:rsidRDefault="00286B0D" w:rsidP="00E844A3">
      <w:pPr>
        <w:jc w:val="left"/>
        <w:rPr>
          <w:b/>
          <w:bCs/>
        </w:rPr>
      </w:pPr>
      <w:r>
        <w:rPr>
          <w:b/>
          <w:bCs/>
        </w:rPr>
        <w:t>Rule 3.4 Improper Trial Tactics</w:t>
      </w:r>
    </w:p>
    <w:p w14:paraId="3D419DA3" w14:textId="35478C65" w:rsidR="007A1403" w:rsidRDefault="00E844A3" w:rsidP="00E844A3">
      <w:pPr>
        <w:jc w:val="left"/>
      </w:pPr>
      <w:r w:rsidRPr="00E844A3">
        <w:rPr>
          <w:i/>
          <w:iCs/>
        </w:rPr>
        <w:t>Washington v. State</w:t>
      </w:r>
      <w:r w:rsidRPr="00E844A3">
        <w:t>, 445 S.C. 233, 911 S.E.2d 536 (Ct. App. 2025)</w:t>
      </w:r>
      <w:r>
        <w:t xml:space="preserve"> was a case of first degree criminal assault.  There was no physical evidence of the assault, which turned on the credibility of the minor defendant. In closing argument the prosecutor vouched for the victim’s credibility: </w:t>
      </w:r>
      <w:r w:rsidRPr="00E844A3">
        <w:t>“I submit to you [Victim] was wholly credible.  That she's only capable of telling the truth.”</w:t>
      </w:r>
      <w:r w:rsidR="009A3D59">
        <w:t xml:space="preserve">  </w:t>
      </w:r>
      <w:r w:rsidR="00F272F6">
        <w:t xml:space="preserve">On appeal the State argued that the trial court’s curative instruction was sufficient to overcome this </w:t>
      </w:r>
      <w:r w:rsidR="000B487B">
        <w:t>deficiency</w:t>
      </w:r>
      <w:r w:rsidR="00F272F6">
        <w:t xml:space="preserve"> but the </w:t>
      </w:r>
      <w:r w:rsidR="000B487B">
        <w:t xml:space="preserve">Court of Appeals </w:t>
      </w:r>
      <w:r w:rsidR="00F272F6">
        <w:t xml:space="preserve">disagreed.  The case is significant because it provides guidance on when a curative instruction is sufficient to overcome a trial error.  The </w:t>
      </w:r>
      <w:r w:rsidR="000B487B">
        <w:t>Court of Appeals</w:t>
      </w:r>
      <w:r w:rsidR="00F272F6">
        <w:t xml:space="preserve"> emphasized the following factors: (1) the vouching comments were extensive rather than fleeting; (2) the statement</w:t>
      </w:r>
      <w:r w:rsidR="000B487B">
        <w:t>s</w:t>
      </w:r>
      <w:r w:rsidR="00F272F6">
        <w:t xml:space="preserve"> were made during summation rather than when the witness testified; </w:t>
      </w:r>
      <w:r w:rsidR="000B487B">
        <w:t xml:space="preserve">and </w:t>
      </w:r>
      <w:r w:rsidR="00F272F6">
        <w:t>(3) defense counsel did not object to the vouching comments</w:t>
      </w:r>
      <w:r w:rsidR="000B487B" w:rsidRPr="000B487B">
        <w:t xml:space="preserve">. The </w:t>
      </w:r>
      <w:r w:rsidR="000B487B">
        <w:t>c</w:t>
      </w:r>
      <w:r w:rsidR="000B487B" w:rsidRPr="000B487B">
        <w:t xml:space="preserve">ourt distinguished </w:t>
      </w:r>
      <w:r w:rsidR="000B487B">
        <w:t>the Supreme Court’s</w:t>
      </w:r>
      <w:r w:rsidR="000B487B" w:rsidRPr="000B487B">
        <w:t xml:space="preserve"> previous decision in </w:t>
      </w:r>
      <w:r w:rsidR="000B487B" w:rsidRPr="000B487B">
        <w:rPr>
          <w:i/>
          <w:iCs/>
        </w:rPr>
        <w:t>State v. Reyes</w:t>
      </w:r>
      <w:r w:rsidR="000B487B" w:rsidRPr="000B487B">
        <w:t>, 432 S.C. 394, 853 S.E.2d 334 (2020)</w:t>
      </w:r>
      <w:r w:rsidR="000B487B">
        <w:t xml:space="preserve"> where the curative instruction was sufficient.</w:t>
      </w:r>
    </w:p>
    <w:p w14:paraId="64092B19" w14:textId="77777777" w:rsidR="005F18F8" w:rsidRDefault="005F18F8" w:rsidP="00E844A3">
      <w:pPr>
        <w:jc w:val="left"/>
      </w:pPr>
    </w:p>
    <w:p w14:paraId="56461DCE" w14:textId="58E62376" w:rsidR="00DE2469" w:rsidRPr="00633E3E" w:rsidRDefault="00633E3E" w:rsidP="00E844A3">
      <w:pPr>
        <w:jc w:val="left"/>
        <w:rPr>
          <w:b/>
          <w:bCs/>
        </w:rPr>
      </w:pPr>
      <w:r>
        <w:rPr>
          <w:b/>
          <w:bCs/>
        </w:rPr>
        <w:t>Rule 5.5 Practice of Law by Nonlawyers</w:t>
      </w:r>
    </w:p>
    <w:p w14:paraId="2A73D9E8" w14:textId="03529AF3" w:rsidR="009A39BB" w:rsidRDefault="00DE2469" w:rsidP="00C35FF2">
      <w:pPr>
        <w:jc w:val="left"/>
      </w:pPr>
      <w:r w:rsidRPr="00DE2469">
        <w:rPr>
          <w:i/>
          <w:iCs/>
        </w:rPr>
        <w:lastRenderedPageBreak/>
        <w:t>U.S. Bank Nat'l Ass'n v. Mack-Marion</w:t>
      </w:r>
      <w:r w:rsidRPr="00DE2469">
        <w:t>, 445 S.C. 103, 912 S.E.2d 236 (2025)</w:t>
      </w:r>
      <w:r w:rsidR="00A87BFC">
        <w:t xml:space="preserve"> expanded the jurisdiction of lower courts to consider claims of unauthorized practice of law.  </w:t>
      </w:r>
      <w:r w:rsidR="00BD486B" w:rsidRPr="00A87BFC">
        <w:t>In 2001 Frances Mack-Marion refinanced her property taking out a new mortgage; the refinancing occurred without attorney supervision. In 2011 the South Carolina Supreme Court ruled that mortgage lenders are not entitled to equitable remedies to enforce their mortgages that closed without attorney supervision. </w:t>
      </w:r>
      <w:r w:rsidR="00BD486B" w:rsidRPr="00A87BFC">
        <w:rPr>
          <w:i/>
          <w:iCs/>
        </w:rPr>
        <w:t>Matrix Financial Services Corporation v. Frazer</w:t>
      </w:r>
      <w:r w:rsidR="00BD486B" w:rsidRPr="00A87BFC">
        <w:t>, 394 S.C. 134, 140, 714 S.E.2d 532, 535 (2011). In 2020 U.S. Bank National Association (</w:t>
      </w:r>
      <w:r w:rsidR="00A87BFC">
        <w:t>“</w:t>
      </w:r>
      <w:r w:rsidR="00BD486B" w:rsidRPr="00A87BFC">
        <w:t>U.S. Bank</w:t>
      </w:r>
      <w:r w:rsidR="00A87BFC">
        <w:t>”</w:t>
      </w:r>
      <w:r w:rsidR="00BD486B" w:rsidRPr="00A87BFC">
        <w:t>), the successor in interest to Mack-Marion's loan, started foreclosure proceedings against her. In response Mack-Marion asserted several counterclaims, including a declaratory judgment that U.S. Bank was barred from the equitable remedy of mortgage foreclosure under </w:t>
      </w:r>
      <w:r w:rsidR="00BD486B" w:rsidRPr="00A87BFC">
        <w:rPr>
          <w:i/>
          <w:iCs/>
        </w:rPr>
        <w:t>Matrix</w:t>
      </w:r>
      <w:r w:rsidR="00BD486B" w:rsidRPr="00A87BFC">
        <w:t>. The bank filed motions to dismiss the counterclaims contending that (1) the master-in-equity, to whom the case had be</w:t>
      </w:r>
      <w:r w:rsidR="00A87BFC">
        <w:t>e</w:t>
      </w:r>
      <w:r w:rsidR="00BD486B" w:rsidRPr="00A87BFC">
        <w:t>n assigned, did not have subject matter jurisdiction over claims for the unauthorized practice of law, which could only be brought before the South Carolina Supreme Court, and (2) the mortgage was recorded before the effective date of the Matrix decision. The master-in-equity granted the motion to dismiss. Mack-Marion appealed, and the Supreme Court granted her motion to have the case certified to it.</w:t>
      </w:r>
      <w:r w:rsidR="00A87BFC">
        <w:t xml:space="preserve">  U.S. Bank’s subject matter jurisdiction argued rested on previous decisions of the South Carolina Supreme Court and the Court of Appeals which seemed to indicate that unauthorized practice claims could only be brought in the original jurisdiction of the Supreme Court.  </w:t>
      </w:r>
      <w:r w:rsidR="00A87BFC" w:rsidRPr="00361FBC">
        <w:t xml:space="preserve">In </w:t>
      </w:r>
      <w:r w:rsidR="00A87BFC" w:rsidRPr="00361FBC">
        <w:rPr>
          <w:i/>
          <w:iCs/>
        </w:rPr>
        <w:t>Mack-Marion</w:t>
      </w:r>
      <w:r w:rsidR="00A87BFC" w:rsidRPr="00361FBC">
        <w:t xml:space="preserve"> </w:t>
      </w:r>
      <w:r w:rsidR="00361FBC" w:rsidRPr="00361FBC">
        <w:t>the court clarified how lower courts should handle civil claims involving the unauthorized practice of law. </w:t>
      </w:r>
      <w:r w:rsidR="00361FBC" w:rsidRPr="00361FBC">
        <w:rPr>
          <w:b/>
          <w:bCs/>
        </w:rPr>
        <w:t>First</w:t>
      </w:r>
      <w:r w:rsidR="00361FBC" w:rsidRPr="00361FBC">
        <w:t xml:space="preserve">, the Court reaffirmed its prior rulings that South Carolina does not recognize a cause of action for the unauthorized practice of law. To have a valid claim involving the unauthorized practice of law a “party must show something more than the unauthorized practice of law to have a valid claim.” Second, the court overruled prior case law to the extent that it found that lower courts did not have subject matter jurisdiction over claims that were </w:t>
      </w:r>
      <w:r w:rsidR="00361FBC">
        <w:t>“</w:t>
      </w:r>
      <w:r w:rsidR="00361FBC" w:rsidRPr="00361FBC">
        <w:t>intertwined</w:t>
      </w:r>
      <w:r w:rsidR="00361FBC">
        <w:t>”</w:t>
      </w:r>
      <w:r w:rsidR="00361FBC" w:rsidRPr="00361FBC">
        <w:t xml:space="preserve"> with the unauthorized practice of law. Under the Court's decision in </w:t>
      </w:r>
      <w:r w:rsidR="00361FBC" w:rsidRPr="00361FBC">
        <w:rPr>
          <w:i/>
          <w:iCs/>
        </w:rPr>
        <w:t>Mack-Marion</w:t>
      </w:r>
      <w:r w:rsidR="00361FBC" w:rsidRPr="00361FBC">
        <w:t>, lower courts would have subject matter jurisdiction over such claims if the South Carolina Supreme Court had found that the conduct in question was the unauthorized practice of law. That was the situation in </w:t>
      </w:r>
      <w:r w:rsidR="00361FBC" w:rsidRPr="00361FBC">
        <w:rPr>
          <w:i/>
          <w:iCs/>
        </w:rPr>
        <w:t>Mack-Marion</w:t>
      </w:r>
      <w:r w:rsidR="00361FBC" w:rsidRPr="00361FBC">
        <w:t> because the Supreme Court had already found in </w:t>
      </w:r>
      <w:r w:rsidR="00361FBC" w:rsidRPr="00361FBC">
        <w:rPr>
          <w:i/>
          <w:iCs/>
        </w:rPr>
        <w:t>Matrix</w:t>
      </w:r>
      <w:r w:rsidR="00361FBC" w:rsidRPr="00361FBC">
        <w:t xml:space="preserve"> that mortgage lenders engaged in the unauthorized practice of law by closing loans without attorney supervision. </w:t>
      </w:r>
      <w:r w:rsidR="00361FBC" w:rsidRPr="00361FBC">
        <w:rPr>
          <w:b/>
          <w:bCs/>
        </w:rPr>
        <w:t>Third</w:t>
      </w:r>
      <w:r w:rsidR="00361FBC" w:rsidRPr="00361FBC">
        <w:t xml:space="preserve">, while the master-in-equity had subject matter jurisdiction over Mack-Marion's counterclaims, the </w:t>
      </w:r>
      <w:r w:rsidR="00361FBC">
        <w:t>c</w:t>
      </w:r>
      <w:r w:rsidR="00361FBC" w:rsidRPr="00361FBC">
        <w:t xml:space="preserve">ourt nonetheless affirmed the dismissal of those counterclaims because the mortgage was recorded before the </w:t>
      </w:r>
      <w:r w:rsidR="00361FBC">
        <w:t>c</w:t>
      </w:r>
      <w:r w:rsidR="00361FBC" w:rsidRPr="00361FBC">
        <w:t>ourt</w:t>
      </w:r>
      <w:r w:rsidR="00361FBC">
        <w:t>’</w:t>
      </w:r>
      <w:r w:rsidR="00361FBC" w:rsidRPr="00361FBC">
        <w:t>s decision in </w:t>
      </w:r>
      <w:r w:rsidR="00361FBC" w:rsidRPr="00361FBC">
        <w:rPr>
          <w:i/>
          <w:iCs/>
        </w:rPr>
        <w:t>Matrix</w:t>
      </w:r>
      <w:r w:rsidR="00361FBC" w:rsidRPr="00361FBC">
        <w:t xml:space="preserve">. Mack-Marion asked the </w:t>
      </w:r>
      <w:r w:rsidR="00361FBC">
        <w:t>c</w:t>
      </w:r>
      <w:r w:rsidR="00361FBC" w:rsidRPr="00361FBC">
        <w:t>ourt to rule that </w:t>
      </w:r>
      <w:r w:rsidR="00361FBC" w:rsidRPr="00361FBC">
        <w:rPr>
          <w:i/>
          <w:iCs/>
        </w:rPr>
        <w:t>Matrix</w:t>
      </w:r>
      <w:r w:rsidR="00361FBC" w:rsidRPr="00361FBC">
        <w:t xml:space="preserve"> should be applied retroactively but the </w:t>
      </w:r>
      <w:r w:rsidR="00361FBC">
        <w:t>c</w:t>
      </w:r>
      <w:r w:rsidR="00361FBC" w:rsidRPr="00361FBC">
        <w:t xml:space="preserve">ourt did not </w:t>
      </w:r>
      <w:r w:rsidR="00361FBC">
        <w:t>“</w:t>
      </w:r>
      <w:r w:rsidR="00361FBC" w:rsidRPr="00361FBC">
        <w:t>see a sound reason to do so.</w:t>
      </w:r>
      <w:r w:rsidR="00361FBC">
        <w:t>”</w:t>
      </w:r>
      <w:r w:rsidR="00361FBC" w:rsidRPr="00361FBC">
        <w:t xml:space="preserve"> </w:t>
      </w:r>
      <w:r w:rsidR="00361FBC" w:rsidRPr="00361FBC">
        <w:rPr>
          <w:b/>
          <w:bCs/>
        </w:rPr>
        <w:t>Fourth</w:t>
      </w:r>
      <w:r w:rsidR="00361FBC" w:rsidRPr="00361FBC">
        <w:t xml:space="preserve">, the </w:t>
      </w:r>
      <w:r w:rsidR="00361FBC">
        <w:t>c</w:t>
      </w:r>
      <w:r w:rsidR="00361FBC" w:rsidRPr="00361FBC">
        <w:t>ourt clarified that it would only exercise subject matter jurisdiction to determine whether conduct constituted the unauthorized practice of law when the conduct raised a novel question.  See</w:t>
      </w:r>
      <w:r w:rsidR="00361FBC">
        <w:rPr>
          <w:rFonts w:ascii="Lato" w:hAnsi="Lato"/>
          <w:color w:val="00172E"/>
          <w:sz w:val="27"/>
          <w:szCs w:val="27"/>
          <w:shd w:val="clear" w:color="auto" w:fill="FFFFFF"/>
        </w:rPr>
        <w:t xml:space="preserve"> </w:t>
      </w:r>
      <w:r w:rsidR="00C35FF2" w:rsidRPr="00C35FF2">
        <w:t xml:space="preserve">Nathan M. Crystal, </w:t>
      </w:r>
      <w:r w:rsidR="00C35FF2" w:rsidRPr="00C35FF2">
        <w:rPr>
          <w:i/>
          <w:iCs/>
        </w:rPr>
        <w:t>South Carolina Doesn't Recognize a Cause of Action for UPL, Right? - Not So Fast</w:t>
      </w:r>
      <w:r w:rsidR="00C35FF2" w:rsidRPr="00C35FF2">
        <w:t>, 36 S. Carolina Lawyer 16 (March 2025)</w:t>
      </w:r>
      <w:r w:rsidR="00C35FF2">
        <w:t>.</w:t>
      </w:r>
    </w:p>
    <w:p w14:paraId="1B5280A8" w14:textId="77777777" w:rsidR="009A39BB" w:rsidRDefault="009A39BB" w:rsidP="00C35FF2">
      <w:pPr>
        <w:jc w:val="left"/>
      </w:pPr>
    </w:p>
    <w:p w14:paraId="769C680A" w14:textId="646D9E81" w:rsidR="009A39BB" w:rsidRPr="00F95699" w:rsidRDefault="009A39BB" w:rsidP="00C35FF2">
      <w:pPr>
        <w:jc w:val="left"/>
        <w:rPr>
          <w:b/>
          <w:bCs/>
        </w:rPr>
      </w:pPr>
      <w:r w:rsidRPr="00F95699">
        <w:rPr>
          <w:b/>
          <w:bCs/>
        </w:rPr>
        <w:t>Rule 7.1 False, Deceptive, and Misleading communications</w:t>
      </w:r>
    </w:p>
    <w:p w14:paraId="606DBA91" w14:textId="77777777" w:rsidR="009A39BB" w:rsidRPr="00F95699" w:rsidRDefault="009A39BB" w:rsidP="00C35FF2">
      <w:pPr>
        <w:jc w:val="left"/>
        <w:rPr>
          <w:b/>
          <w:bCs/>
        </w:rPr>
      </w:pPr>
      <w:r w:rsidRPr="00F95699">
        <w:rPr>
          <w:b/>
          <w:bCs/>
        </w:rPr>
        <w:tab/>
        <w:t xml:space="preserve">   Advertising by Out-of-State Lawyers</w:t>
      </w:r>
    </w:p>
    <w:p w14:paraId="27174903" w14:textId="77777777" w:rsidR="009A39BB" w:rsidRPr="00F95699" w:rsidRDefault="009A39BB" w:rsidP="00C35FF2">
      <w:pPr>
        <w:jc w:val="left"/>
        <w:rPr>
          <w:b/>
          <w:bCs/>
        </w:rPr>
      </w:pPr>
      <w:r w:rsidRPr="00F95699">
        <w:rPr>
          <w:b/>
          <w:bCs/>
        </w:rPr>
        <w:tab/>
        <w:t xml:space="preserve">  Creating Unjustified Expectations</w:t>
      </w:r>
    </w:p>
    <w:p w14:paraId="43BF0DA7" w14:textId="37FDA2E0" w:rsidR="00AD2960" w:rsidRPr="00F95699" w:rsidRDefault="009A39BB" w:rsidP="00C35FF2">
      <w:pPr>
        <w:jc w:val="left"/>
        <w:rPr>
          <w:b/>
          <w:bCs/>
        </w:rPr>
      </w:pPr>
      <w:r w:rsidRPr="00F95699">
        <w:rPr>
          <w:b/>
          <w:bCs/>
        </w:rPr>
        <w:tab/>
        <w:t xml:space="preserve">  </w:t>
      </w:r>
      <w:r w:rsidR="00F95699" w:rsidRPr="00F95699">
        <w:rPr>
          <w:b/>
          <w:bCs/>
        </w:rPr>
        <w:t>Comparison with Other Lawyers</w:t>
      </w:r>
    </w:p>
    <w:p w14:paraId="0B4447A7" w14:textId="7354994D" w:rsidR="005A2883" w:rsidRPr="005A2883" w:rsidRDefault="00F95699" w:rsidP="005A2883">
      <w:pPr>
        <w:jc w:val="left"/>
      </w:pPr>
      <w:r w:rsidRPr="00F95699">
        <w:rPr>
          <w:b/>
          <w:bCs/>
        </w:rPr>
        <w:t>Rule 7.2 Identification of a Responsible Lawyer</w:t>
      </w:r>
      <w:r w:rsidR="009A39BB">
        <w:tab/>
      </w:r>
      <w:r w:rsidR="009A39BB">
        <w:tab/>
      </w:r>
    </w:p>
    <w:p w14:paraId="17D71CB9" w14:textId="662C59D6" w:rsidR="00B35FCA" w:rsidRDefault="005A2883" w:rsidP="00B35FCA">
      <w:pPr>
        <w:jc w:val="left"/>
      </w:pPr>
      <w:r w:rsidRPr="005A2883">
        <w:rPr>
          <w:i/>
          <w:iCs/>
        </w:rPr>
        <w:t>In re Matter of Hostilo</w:t>
      </w:r>
      <w:r w:rsidRPr="005A2883">
        <w:t xml:space="preserve">, </w:t>
      </w:r>
      <w:r w:rsidR="009A043A">
        <w:t>445 S.C. 508, 915 S.E.2d 483 (</w:t>
      </w:r>
      <w:r w:rsidRPr="005A2883">
        <w:t>2025)</w:t>
      </w:r>
      <w:r>
        <w:t xml:space="preserve">.  Respondent, a lawyer admitted to practice in Georgia but not in South Carolina, engaged in advertising in South Carolina and was </w:t>
      </w:r>
      <w:r>
        <w:lastRenderedPageBreak/>
        <w:t>therefore subject to the South Carolina Rules of P</w:t>
      </w:r>
      <w:r w:rsidR="0055457A">
        <w:t>r</w:t>
      </w:r>
      <w:r>
        <w:t xml:space="preserve">ofessional Conduct under Supreme Court Rule 418.  Respondent also employed South Carolina admitted attorneys who provide legal services in South Carolina. </w:t>
      </w:r>
      <w:r w:rsidR="0055457A">
        <w:t xml:space="preserve">The Supreme Court accepted respondent’s conditional admission and administered a public reprimand for </w:t>
      </w:r>
      <w:r w:rsidR="00B35FCA">
        <w:t>numerous violations of the advertising rules</w:t>
      </w:r>
      <w:r w:rsidR="00431024">
        <w:t xml:space="preserve"> in the firm’s website, YouTube video, and billboard.</w:t>
      </w:r>
      <w:r w:rsidR="00B35FCA">
        <w:t xml:space="preserve">  The case reads like a checklist of </w:t>
      </w:r>
      <w:r w:rsidR="00B35FCA" w:rsidRPr="00431024">
        <w:rPr>
          <w:u w:val="single"/>
        </w:rPr>
        <w:t>advertisements a firm should not make.</w:t>
      </w:r>
      <w:r w:rsidR="00B35FCA">
        <w:t xml:space="preserve">  Careful reading of the opinion by any lawyer who engages in advertising is worthwhile.  The following violations, however, are particularly worth noting:</w:t>
      </w:r>
    </w:p>
    <w:p w14:paraId="3E629B0A" w14:textId="3FFFECA1" w:rsidR="00B35FCA" w:rsidRDefault="00B35FCA" w:rsidP="00B35FCA">
      <w:pPr>
        <w:pStyle w:val="ListParagraph"/>
        <w:numPr>
          <w:ilvl w:val="0"/>
          <w:numId w:val="2"/>
        </w:numPr>
        <w:jc w:val="left"/>
      </w:pPr>
      <w:r>
        <w:t>Misrepresentation about length of practice in South Carolina and other jurisdiction</w:t>
      </w:r>
      <w:r w:rsidR="00431024">
        <w:t>s</w:t>
      </w:r>
      <w:r>
        <w:t>;</w:t>
      </w:r>
    </w:p>
    <w:p w14:paraId="0222D293" w14:textId="561875A1" w:rsidR="00B35FCA" w:rsidRDefault="00B35FCA" w:rsidP="00B35FCA">
      <w:pPr>
        <w:pStyle w:val="ListParagraph"/>
        <w:numPr>
          <w:ilvl w:val="0"/>
          <w:numId w:val="2"/>
        </w:numPr>
        <w:jc w:val="left"/>
      </w:pPr>
      <w:r>
        <w:t>Statements about results obtained in cases without the required disclaimers;</w:t>
      </w:r>
    </w:p>
    <w:p w14:paraId="6A27556E" w14:textId="5510263D" w:rsidR="00B35FCA" w:rsidRDefault="00B35FCA" w:rsidP="00B35FCA">
      <w:pPr>
        <w:pStyle w:val="ListParagraph"/>
        <w:numPr>
          <w:ilvl w:val="0"/>
          <w:numId w:val="2"/>
        </w:numPr>
        <w:jc w:val="left"/>
      </w:pPr>
      <w:r>
        <w:t>Comparison of services rendered by respondent’s firm with services rendered by other lawyers without the required disclaimers;</w:t>
      </w:r>
    </w:p>
    <w:p w14:paraId="728DF104" w14:textId="10810094" w:rsidR="00431024" w:rsidRDefault="00431024" w:rsidP="00B35FCA">
      <w:pPr>
        <w:pStyle w:val="ListParagraph"/>
        <w:numPr>
          <w:ilvl w:val="0"/>
          <w:numId w:val="2"/>
        </w:numPr>
        <w:jc w:val="left"/>
      </w:pPr>
      <w:r>
        <w:t>Testimonials and endorsements without the proper disclaimers;</w:t>
      </w:r>
    </w:p>
    <w:p w14:paraId="475CD7F2" w14:textId="7E2DADED" w:rsidR="00B35FCA" w:rsidRDefault="00431024" w:rsidP="00B35FCA">
      <w:pPr>
        <w:pStyle w:val="ListParagraph"/>
        <w:numPr>
          <w:ilvl w:val="0"/>
          <w:numId w:val="2"/>
        </w:numPr>
        <w:jc w:val="left"/>
      </w:pPr>
      <w:r>
        <w:t>Violation of the requirement that advertising be “predominantly informational,” particularly by visual emphasis of mone</w:t>
      </w:r>
      <w:r w:rsidR="008E180B">
        <w:t>y;</w:t>
      </w:r>
    </w:p>
    <w:p w14:paraId="0B7BF505" w14:textId="413677C4" w:rsidR="008E180B" w:rsidRDefault="008E180B" w:rsidP="00B35FCA">
      <w:pPr>
        <w:pStyle w:val="ListParagraph"/>
        <w:numPr>
          <w:ilvl w:val="0"/>
          <w:numId w:val="2"/>
        </w:numPr>
        <w:jc w:val="left"/>
      </w:pPr>
      <w:r>
        <w:t>Failure to review advertisement for compliance with the Rules of Professional Conduct.</w:t>
      </w:r>
    </w:p>
    <w:p w14:paraId="3083C02D" w14:textId="77777777" w:rsidR="00E936AF" w:rsidRDefault="00E936AF" w:rsidP="00E936AF">
      <w:pPr>
        <w:pStyle w:val="ListParagraph"/>
        <w:jc w:val="left"/>
      </w:pPr>
    </w:p>
    <w:p w14:paraId="7583E026" w14:textId="1230777F" w:rsidR="00E936AF" w:rsidRPr="00E936AF" w:rsidRDefault="00E936AF" w:rsidP="00E936AF">
      <w:pPr>
        <w:pStyle w:val="ListParagraph"/>
        <w:ind w:left="0"/>
        <w:jc w:val="left"/>
        <w:rPr>
          <w:b/>
          <w:bCs/>
        </w:rPr>
      </w:pPr>
      <w:r w:rsidRPr="00E936AF">
        <w:rPr>
          <w:b/>
          <w:bCs/>
        </w:rPr>
        <w:t>Rule 8.4 Discrimination in the Practice of Law</w:t>
      </w:r>
    </w:p>
    <w:p w14:paraId="2FB42B09" w14:textId="61E7A5F2" w:rsidR="00BB6D10" w:rsidRDefault="00E936AF" w:rsidP="00BB6D10">
      <w:pPr>
        <w:jc w:val="left"/>
      </w:pPr>
      <w:r>
        <w:t xml:space="preserve">ABA </w:t>
      </w:r>
      <w:r w:rsidRPr="00E936AF">
        <w:rPr>
          <w:i/>
          <w:iCs/>
        </w:rPr>
        <w:t>Formal Opinion</w:t>
      </w:r>
      <w:r>
        <w:t xml:space="preserve"> #517 </w:t>
      </w:r>
      <w:r>
        <w:rPr>
          <w:rFonts w:eastAsia="Times New Roman" w:cs="Times New Roman"/>
          <w:kern w:val="0"/>
          <w14:ligatures w14:val="none"/>
        </w:rPr>
        <w:t>a</w:t>
      </w:r>
      <w:r w:rsidRPr="00147633">
        <w:rPr>
          <w:rFonts w:eastAsia="Times New Roman" w:cs="Times New Roman"/>
          <w:kern w:val="0"/>
          <w14:ligatures w14:val="none"/>
        </w:rPr>
        <w:t xml:space="preserve">ddresses discriminatory use of peremptory challenges in jury selection under Rule 8.4(g), including in contexts involving AI-assisted jury selection. </w:t>
      </w:r>
      <w:r>
        <w:rPr>
          <w:rFonts w:eastAsia="Times New Roman" w:cs="Times New Roman"/>
          <w:kern w:val="0"/>
          <w14:ligatures w14:val="none"/>
        </w:rPr>
        <w:t xml:space="preserve"> The opinion e</w:t>
      </w:r>
      <w:r w:rsidRPr="00147633">
        <w:rPr>
          <w:rFonts w:eastAsia="Times New Roman" w:cs="Times New Roman"/>
          <w:kern w:val="0"/>
          <w14:ligatures w14:val="none"/>
        </w:rPr>
        <w:t>xamines when such challenges may violate the Model Rules.</w:t>
      </w:r>
      <w:r>
        <w:rPr>
          <w:rFonts w:eastAsia="Times New Roman" w:cs="Times New Roman"/>
          <w:kern w:val="0"/>
          <w14:ligatures w14:val="none"/>
        </w:rPr>
        <w:t xml:space="preserve">  South Carolina has not adopted Model Rule 8.4(g).</w:t>
      </w:r>
    </w:p>
    <w:p w14:paraId="5AA0B0B2" w14:textId="5825C589" w:rsidR="00B35FCA" w:rsidRDefault="00B35FCA" w:rsidP="00B35FCA">
      <w:pPr>
        <w:jc w:val="left"/>
      </w:pPr>
      <w:r>
        <w:tab/>
      </w:r>
    </w:p>
    <w:p w14:paraId="67D21526" w14:textId="0ED632DF" w:rsidR="00334F48" w:rsidRDefault="006D44BA" w:rsidP="00431024">
      <w:pPr>
        <w:jc w:val="left"/>
        <w:rPr>
          <w:b/>
          <w:bCs/>
        </w:rPr>
      </w:pPr>
      <w:r>
        <w:rPr>
          <w:b/>
          <w:bCs/>
        </w:rPr>
        <w:t>Overview of the South Carolina Disciplinary System</w:t>
      </w:r>
      <w:r w:rsidR="00B35FCA">
        <w:tab/>
      </w:r>
    </w:p>
    <w:p w14:paraId="1671A16B" w14:textId="5CF4F43D" w:rsidR="006D44BA" w:rsidRPr="006D44BA" w:rsidRDefault="006D44BA" w:rsidP="00431024">
      <w:pPr>
        <w:jc w:val="left"/>
      </w:pPr>
      <w:r>
        <w:rPr>
          <w:b/>
          <w:bCs/>
        </w:rPr>
        <w:tab/>
        <w:t>Investigations</w:t>
      </w:r>
    </w:p>
    <w:p w14:paraId="38ACD8A4" w14:textId="4393E776" w:rsidR="00EC3F41" w:rsidRPr="001D292C" w:rsidRDefault="006D44BA" w:rsidP="00EC3F41">
      <w:pPr>
        <w:jc w:val="left"/>
      </w:pPr>
      <w:r>
        <w:tab/>
        <w:t xml:space="preserve">In </w:t>
      </w:r>
      <w:r w:rsidRPr="00F56A7F">
        <w:rPr>
          <w:i/>
          <w:iCs/>
        </w:rPr>
        <w:t xml:space="preserve">Anonymous Mediator/Attorney Petitioner v. </w:t>
      </w:r>
      <w:r w:rsidR="00EC3F41" w:rsidRPr="00F56A7F">
        <w:rPr>
          <w:i/>
          <w:iCs/>
        </w:rPr>
        <w:t>South Carolina Office of Disciplinary Counsel</w:t>
      </w:r>
      <w:r w:rsidR="00EC3F41">
        <w:t xml:space="preserve">, </w:t>
      </w:r>
      <w:r w:rsidR="009A043A">
        <w:t xml:space="preserve">446 S.C. 196, 919 S.E.2d 425 (2025), </w:t>
      </w:r>
      <w:r w:rsidR="00EC3F41">
        <w:t>the Court ruled that South Carolina ADR Rule 8(a), dealing with confidentiality of ADR proceedings is not absolute, and an attorney mediatory was required to respond to Disciplinary Counsel’s request for a description of the behavior of an attorney participant in a mediation.  The Court concluded that the request did not relate to the substance of the mediation and was therefore not protected by the confidentiality rule.  Note also that the ADR Rules have a specific exception for information disclosed during a mediation that is “offered to report, prove, or disprove professional misconduct occurred during the mediation.”</w:t>
      </w:r>
    </w:p>
    <w:p w14:paraId="78A93BA3" w14:textId="77777777" w:rsidR="001D292C" w:rsidRPr="001D292C" w:rsidRDefault="001D292C" w:rsidP="001D292C"/>
    <w:p w14:paraId="34AE7085" w14:textId="77777777" w:rsidR="001D292C" w:rsidRPr="001D292C" w:rsidRDefault="001D292C" w:rsidP="001D292C"/>
    <w:p w14:paraId="092C09E3" w14:textId="77777777" w:rsidR="001D292C" w:rsidRDefault="001D292C" w:rsidP="001D292C"/>
    <w:p w14:paraId="3EBA96D8" w14:textId="77777777" w:rsidR="00147633" w:rsidRPr="00147633" w:rsidRDefault="00147633" w:rsidP="00147633">
      <w:pPr>
        <w:jc w:val="left"/>
        <w:rPr>
          <w:rFonts w:eastAsia="Times New Roman" w:cs="Times New Roman"/>
          <w:vanish/>
          <w:kern w:val="0"/>
          <w14:ligatures w14:val="none"/>
        </w:rPr>
      </w:pPr>
    </w:p>
    <w:p w14:paraId="59C1C1BF" w14:textId="69D8D30C" w:rsidR="001D292C" w:rsidRPr="001D292C" w:rsidRDefault="001D292C" w:rsidP="001D292C">
      <w:pPr>
        <w:tabs>
          <w:tab w:val="left" w:pos="2719"/>
          <w:tab w:val="center" w:pos="4680"/>
        </w:tabs>
        <w:jc w:val="left"/>
      </w:pPr>
    </w:p>
    <w:sectPr w:rsidR="001D292C" w:rsidRPr="001D292C" w:rsidSect="00F10D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6807B" w14:textId="77777777" w:rsidR="00F10977" w:rsidRDefault="00F10977" w:rsidP="00844CD2">
      <w:r>
        <w:separator/>
      </w:r>
    </w:p>
  </w:endnote>
  <w:endnote w:type="continuationSeparator" w:id="0">
    <w:p w14:paraId="1F5A140B" w14:textId="77777777" w:rsidR="00F10977" w:rsidRDefault="00F10977" w:rsidP="0084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7ABAD" w14:textId="77777777" w:rsidR="00F10977" w:rsidRDefault="00F10977" w:rsidP="00844CD2">
      <w:r>
        <w:separator/>
      </w:r>
    </w:p>
  </w:footnote>
  <w:footnote w:type="continuationSeparator" w:id="0">
    <w:p w14:paraId="53275E87" w14:textId="77777777" w:rsidR="00F10977" w:rsidRDefault="00F10977" w:rsidP="00844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138B3"/>
    <w:multiLevelType w:val="hybridMultilevel"/>
    <w:tmpl w:val="E3D27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7B3280"/>
    <w:multiLevelType w:val="hybridMultilevel"/>
    <w:tmpl w:val="374CB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2126">
    <w:abstractNumId w:val="0"/>
  </w:num>
  <w:num w:numId="2" w16cid:durableId="163863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96"/>
    <w:rsid w:val="00001DFC"/>
    <w:rsid w:val="00015093"/>
    <w:rsid w:val="00047033"/>
    <w:rsid w:val="00064D53"/>
    <w:rsid w:val="000B487B"/>
    <w:rsid w:val="000B4A6D"/>
    <w:rsid w:val="000F3476"/>
    <w:rsid w:val="001325B1"/>
    <w:rsid w:val="00147633"/>
    <w:rsid w:val="001A7EB0"/>
    <w:rsid w:val="001B7611"/>
    <w:rsid w:val="001D292C"/>
    <w:rsid w:val="00286B0D"/>
    <w:rsid w:val="00290095"/>
    <w:rsid w:val="002C51A5"/>
    <w:rsid w:val="002D05AF"/>
    <w:rsid w:val="002E5373"/>
    <w:rsid w:val="003119D6"/>
    <w:rsid w:val="00330AF4"/>
    <w:rsid w:val="00334F48"/>
    <w:rsid w:val="00361FBC"/>
    <w:rsid w:val="003815B7"/>
    <w:rsid w:val="00381E5A"/>
    <w:rsid w:val="003A50DF"/>
    <w:rsid w:val="003C5093"/>
    <w:rsid w:val="00431024"/>
    <w:rsid w:val="004911D0"/>
    <w:rsid w:val="00496DCE"/>
    <w:rsid w:val="004E62BF"/>
    <w:rsid w:val="004F0B4E"/>
    <w:rsid w:val="004F41B9"/>
    <w:rsid w:val="00523D60"/>
    <w:rsid w:val="0055457A"/>
    <w:rsid w:val="005572AB"/>
    <w:rsid w:val="00564CB0"/>
    <w:rsid w:val="00586A5E"/>
    <w:rsid w:val="005956FE"/>
    <w:rsid w:val="005A2883"/>
    <w:rsid w:val="005B32B1"/>
    <w:rsid w:val="005C6069"/>
    <w:rsid w:val="005F18F8"/>
    <w:rsid w:val="0061335B"/>
    <w:rsid w:val="00622FEF"/>
    <w:rsid w:val="00633E3E"/>
    <w:rsid w:val="00654C63"/>
    <w:rsid w:val="0066036E"/>
    <w:rsid w:val="006665C9"/>
    <w:rsid w:val="00672BE0"/>
    <w:rsid w:val="006A7FB5"/>
    <w:rsid w:val="006D0C70"/>
    <w:rsid w:val="006D44BA"/>
    <w:rsid w:val="00701EE8"/>
    <w:rsid w:val="007A1403"/>
    <w:rsid w:val="007A30CA"/>
    <w:rsid w:val="007A7256"/>
    <w:rsid w:val="007C306E"/>
    <w:rsid w:val="00812E48"/>
    <w:rsid w:val="0081454C"/>
    <w:rsid w:val="00844CD2"/>
    <w:rsid w:val="008947A2"/>
    <w:rsid w:val="008A6C39"/>
    <w:rsid w:val="008C051D"/>
    <w:rsid w:val="008C52A2"/>
    <w:rsid w:val="008E180B"/>
    <w:rsid w:val="008F0F9D"/>
    <w:rsid w:val="008F5D43"/>
    <w:rsid w:val="009025B0"/>
    <w:rsid w:val="00972241"/>
    <w:rsid w:val="00975622"/>
    <w:rsid w:val="00994B96"/>
    <w:rsid w:val="009A043A"/>
    <w:rsid w:val="009A39BB"/>
    <w:rsid w:val="009A3D59"/>
    <w:rsid w:val="00A07A14"/>
    <w:rsid w:val="00A6690C"/>
    <w:rsid w:val="00A7368D"/>
    <w:rsid w:val="00A87BFC"/>
    <w:rsid w:val="00A93711"/>
    <w:rsid w:val="00AC374B"/>
    <w:rsid w:val="00AD2960"/>
    <w:rsid w:val="00B15B1A"/>
    <w:rsid w:val="00B35FCA"/>
    <w:rsid w:val="00B362D1"/>
    <w:rsid w:val="00B55791"/>
    <w:rsid w:val="00B93486"/>
    <w:rsid w:val="00BB6D10"/>
    <w:rsid w:val="00BD486B"/>
    <w:rsid w:val="00BE4E8B"/>
    <w:rsid w:val="00BF1BDA"/>
    <w:rsid w:val="00BF3BC2"/>
    <w:rsid w:val="00BF477C"/>
    <w:rsid w:val="00C00BE9"/>
    <w:rsid w:val="00C13E2A"/>
    <w:rsid w:val="00C339E3"/>
    <w:rsid w:val="00C35FF2"/>
    <w:rsid w:val="00C8051C"/>
    <w:rsid w:val="00C9417F"/>
    <w:rsid w:val="00D3695D"/>
    <w:rsid w:val="00D40AB4"/>
    <w:rsid w:val="00DD45B4"/>
    <w:rsid w:val="00DE2469"/>
    <w:rsid w:val="00DF25BB"/>
    <w:rsid w:val="00E34815"/>
    <w:rsid w:val="00E844A3"/>
    <w:rsid w:val="00E936AF"/>
    <w:rsid w:val="00EC3F41"/>
    <w:rsid w:val="00EF037C"/>
    <w:rsid w:val="00F10977"/>
    <w:rsid w:val="00F10D96"/>
    <w:rsid w:val="00F272F6"/>
    <w:rsid w:val="00F37A27"/>
    <w:rsid w:val="00F51DB2"/>
    <w:rsid w:val="00F52FB7"/>
    <w:rsid w:val="00F56A7F"/>
    <w:rsid w:val="00F65C99"/>
    <w:rsid w:val="00F93D5F"/>
    <w:rsid w:val="00F9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E126C"/>
  <w15:chartTrackingRefBased/>
  <w15:docId w15:val="{C7D3ABD6-D8D1-A94D-9A71-CC8BCC29D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B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B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94B9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994B9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4B9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4B9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4B9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B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B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B9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B9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94B9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rsid w:val="00994B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4B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4B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4B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4B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B9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B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4B96"/>
    <w:pPr>
      <w:spacing w:before="160" w:after="160"/>
    </w:pPr>
    <w:rPr>
      <w:i/>
      <w:iCs/>
      <w:color w:val="404040" w:themeColor="text1" w:themeTint="BF"/>
    </w:rPr>
  </w:style>
  <w:style w:type="character" w:customStyle="1" w:styleId="QuoteChar">
    <w:name w:val="Quote Char"/>
    <w:basedOn w:val="DefaultParagraphFont"/>
    <w:link w:val="Quote"/>
    <w:uiPriority w:val="29"/>
    <w:rsid w:val="00994B96"/>
    <w:rPr>
      <w:i/>
      <w:iCs/>
      <w:color w:val="404040" w:themeColor="text1" w:themeTint="BF"/>
    </w:rPr>
  </w:style>
  <w:style w:type="paragraph" w:styleId="ListParagraph">
    <w:name w:val="List Paragraph"/>
    <w:basedOn w:val="Normal"/>
    <w:uiPriority w:val="34"/>
    <w:qFormat/>
    <w:rsid w:val="00994B96"/>
    <w:pPr>
      <w:ind w:left="720"/>
      <w:contextualSpacing/>
    </w:pPr>
  </w:style>
  <w:style w:type="character" w:styleId="IntenseEmphasis">
    <w:name w:val="Intense Emphasis"/>
    <w:basedOn w:val="DefaultParagraphFont"/>
    <w:uiPriority w:val="21"/>
    <w:qFormat/>
    <w:rsid w:val="00994B96"/>
    <w:rPr>
      <w:i/>
      <w:iCs/>
      <w:color w:val="0F4761" w:themeColor="accent1" w:themeShade="BF"/>
    </w:rPr>
  </w:style>
  <w:style w:type="paragraph" w:styleId="IntenseQuote">
    <w:name w:val="Intense Quote"/>
    <w:basedOn w:val="Normal"/>
    <w:next w:val="Normal"/>
    <w:link w:val="IntenseQuoteChar"/>
    <w:uiPriority w:val="30"/>
    <w:qFormat/>
    <w:rsid w:val="00994B96"/>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994B96"/>
    <w:rPr>
      <w:i/>
      <w:iCs/>
      <w:color w:val="0F4761" w:themeColor="accent1" w:themeShade="BF"/>
    </w:rPr>
  </w:style>
  <w:style w:type="character" w:styleId="IntenseReference">
    <w:name w:val="Intense Reference"/>
    <w:basedOn w:val="DefaultParagraphFont"/>
    <w:uiPriority w:val="32"/>
    <w:qFormat/>
    <w:rsid w:val="00994B96"/>
    <w:rPr>
      <w:b/>
      <w:bCs/>
      <w:smallCaps/>
      <w:color w:val="0F4761" w:themeColor="accent1" w:themeShade="BF"/>
      <w:spacing w:val="5"/>
    </w:rPr>
  </w:style>
  <w:style w:type="character" w:styleId="Hyperlink">
    <w:name w:val="Hyperlink"/>
    <w:basedOn w:val="DefaultParagraphFont"/>
    <w:uiPriority w:val="99"/>
    <w:unhideWhenUsed/>
    <w:rsid w:val="00564CB0"/>
    <w:rPr>
      <w:color w:val="0000FF"/>
      <w:u w:val="single"/>
    </w:rPr>
  </w:style>
  <w:style w:type="character" w:customStyle="1" w:styleId="ssit">
    <w:name w:val="ss_it"/>
    <w:basedOn w:val="DefaultParagraphFont"/>
    <w:rsid w:val="00564CB0"/>
  </w:style>
  <w:style w:type="paragraph" w:styleId="Header">
    <w:name w:val="header"/>
    <w:basedOn w:val="Normal"/>
    <w:link w:val="HeaderChar"/>
    <w:uiPriority w:val="99"/>
    <w:unhideWhenUsed/>
    <w:rsid w:val="00844CD2"/>
    <w:pPr>
      <w:tabs>
        <w:tab w:val="center" w:pos="4680"/>
        <w:tab w:val="right" w:pos="9360"/>
      </w:tabs>
    </w:pPr>
  </w:style>
  <w:style w:type="character" w:customStyle="1" w:styleId="HeaderChar">
    <w:name w:val="Header Char"/>
    <w:basedOn w:val="DefaultParagraphFont"/>
    <w:link w:val="Header"/>
    <w:uiPriority w:val="99"/>
    <w:rsid w:val="00844CD2"/>
  </w:style>
  <w:style w:type="paragraph" w:styleId="Footer">
    <w:name w:val="footer"/>
    <w:basedOn w:val="Normal"/>
    <w:link w:val="FooterChar"/>
    <w:uiPriority w:val="99"/>
    <w:unhideWhenUsed/>
    <w:rsid w:val="00844CD2"/>
    <w:pPr>
      <w:tabs>
        <w:tab w:val="center" w:pos="4680"/>
        <w:tab w:val="right" w:pos="9360"/>
      </w:tabs>
    </w:pPr>
  </w:style>
  <w:style w:type="character" w:customStyle="1" w:styleId="FooterChar">
    <w:name w:val="Footer Char"/>
    <w:basedOn w:val="DefaultParagraphFont"/>
    <w:link w:val="Footer"/>
    <w:uiPriority w:val="99"/>
    <w:rsid w:val="00844CD2"/>
  </w:style>
  <w:style w:type="character" w:customStyle="1" w:styleId="ssrfcpassagedeactivated">
    <w:name w:val="ss_rfcpassage_deactivated"/>
    <w:basedOn w:val="DefaultParagraphFont"/>
    <w:rsid w:val="007A1403"/>
  </w:style>
  <w:style w:type="character" w:customStyle="1" w:styleId="ssbf">
    <w:name w:val="ss_bf"/>
    <w:basedOn w:val="DefaultParagraphFont"/>
    <w:rsid w:val="00361FBC"/>
  </w:style>
  <w:style w:type="paragraph" w:styleId="NormalWeb">
    <w:name w:val="Normal (Web)"/>
    <w:basedOn w:val="Normal"/>
    <w:uiPriority w:val="99"/>
    <w:unhideWhenUsed/>
    <w:rsid w:val="00334F48"/>
    <w:pPr>
      <w:spacing w:before="100" w:beforeAutospacing="1" w:after="100" w:afterAutospacing="1"/>
      <w:jc w:val="left"/>
    </w:pPr>
    <w:rPr>
      <w:rFonts w:eastAsia="Times New Roman" w:cs="Times New Roman"/>
      <w:kern w:val="0"/>
      <w14:ligatures w14:val="none"/>
    </w:rPr>
  </w:style>
  <w:style w:type="character" w:customStyle="1" w:styleId="sssh">
    <w:name w:val="ss_sh"/>
    <w:basedOn w:val="DefaultParagraphFont"/>
    <w:rsid w:val="00334F48"/>
  </w:style>
  <w:style w:type="character" w:styleId="Strong">
    <w:name w:val="Strong"/>
    <w:basedOn w:val="DefaultParagraphFont"/>
    <w:uiPriority w:val="22"/>
    <w:qFormat/>
    <w:rsid w:val="00147633"/>
    <w:rPr>
      <w:b/>
      <w:bCs/>
    </w:rPr>
  </w:style>
  <w:style w:type="character" w:customStyle="1" w:styleId="ms-1">
    <w:name w:val="ms-1"/>
    <w:basedOn w:val="DefaultParagraphFont"/>
    <w:rsid w:val="00147633"/>
  </w:style>
  <w:style w:type="character" w:customStyle="1" w:styleId="max-w-15ch">
    <w:name w:val="max-w-[15ch]"/>
    <w:basedOn w:val="DefaultParagraphFont"/>
    <w:rsid w:val="00147633"/>
  </w:style>
  <w:style w:type="character" w:customStyle="1" w:styleId="-me-1">
    <w:name w:val="-me-1"/>
    <w:basedOn w:val="DefaultParagraphFont"/>
    <w:rsid w:val="00147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964434">
      <w:bodyDiv w:val="1"/>
      <w:marLeft w:val="0"/>
      <w:marRight w:val="0"/>
      <w:marTop w:val="0"/>
      <w:marBottom w:val="0"/>
      <w:divBdr>
        <w:top w:val="none" w:sz="0" w:space="0" w:color="auto"/>
        <w:left w:val="none" w:sz="0" w:space="0" w:color="auto"/>
        <w:bottom w:val="none" w:sz="0" w:space="0" w:color="auto"/>
        <w:right w:val="none" w:sz="0" w:space="0" w:color="auto"/>
      </w:divBdr>
    </w:div>
    <w:div w:id="97317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3772</Words>
  <Characters>19979</Characters>
  <Application>Microsoft Office Word</Application>
  <DocSecurity>0</DocSecurity>
  <Lines>310</Lines>
  <Paragraphs>53</Paragraphs>
  <ScaleCrop>false</ScaleCrop>
  <HeadingPairs>
    <vt:vector size="2" baseType="variant">
      <vt:variant>
        <vt:lpstr>Title</vt:lpstr>
      </vt:variant>
      <vt:variant>
        <vt:i4>1</vt:i4>
      </vt:variant>
    </vt:vector>
  </HeadingPairs>
  <TitlesOfParts>
    <vt:vector size="1" baseType="lpstr">
      <vt:lpstr/>
    </vt:vector>
  </TitlesOfParts>
  <Company>Crystal &amp; Giannon-Crystal, LLC</Company>
  <LinksUpToDate>false</LinksUpToDate>
  <CharactersWithSpaces>23807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Crystal</dc:creator>
  <cp:keywords/>
  <dc:description/>
  <cp:lastModifiedBy>Elise C. Burnette</cp:lastModifiedBy>
  <cp:revision>5</cp:revision>
  <dcterms:created xsi:type="dcterms:W3CDTF">2026-02-07T20:11:00Z</dcterms:created>
  <dcterms:modified xsi:type="dcterms:W3CDTF">2026-02-19T21:59:00Z</dcterms:modified>
</cp:coreProperties>
</file>