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90" w:rsidRDefault="001E5590" w:rsidP="001E5590">
      <w:pPr>
        <w:jc w:val="both"/>
      </w:pPr>
      <w:bookmarkStart w:id="0" w:name="_GoBack"/>
      <w:bookmarkEnd w:id="0"/>
    </w:p>
    <w:p w:rsidR="001E5590" w:rsidRDefault="001E5590" w:rsidP="001E5590">
      <w:pPr>
        <w:jc w:val="both"/>
      </w:pPr>
    </w:p>
    <w:p w:rsidR="001E5590" w:rsidRDefault="001E5590" w:rsidP="001E5590">
      <w:pPr>
        <w:jc w:val="both"/>
      </w:pPr>
    </w:p>
    <w:p w:rsidR="001E5590" w:rsidRDefault="001E5590" w:rsidP="001E5590">
      <w:pPr>
        <w:jc w:val="both"/>
      </w:pPr>
    </w:p>
    <w:p w:rsidR="001E5590" w:rsidRDefault="001E5590" w:rsidP="001E5590">
      <w:pPr>
        <w:jc w:val="both"/>
      </w:pPr>
    </w:p>
    <w:p w:rsidR="001E5590" w:rsidRDefault="001E5590" w:rsidP="001E5590">
      <w:pPr>
        <w:jc w:val="both"/>
      </w:pPr>
      <w:r>
        <w:t>TO:</w:t>
      </w:r>
      <w:r>
        <w:tab/>
        <w:t xml:space="preserve">Purchasers of the Second Edition of </w:t>
      </w:r>
      <w:r w:rsidRPr="001E5590">
        <w:rPr>
          <w:i/>
        </w:rPr>
        <w:t>So You Have a Judgment, Now What?</w:t>
      </w:r>
      <w:r>
        <w:t xml:space="preserve"> </w:t>
      </w:r>
    </w:p>
    <w:p w:rsidR="001E5590" w:rsidRDefault="001E5590" w:rsidP="001E5590">
      <w:pPr>
        <w:jc w:val="both"/>
      </w:pPr>
      <w:r>
        <w:t>FROM:</w:t>
      </w:r>
      <w:r>
        <w:tab/>
        <w:t>Jake Barker- Author</w:t>
      </w:r>
    </w:p>
    <w:p w:rsidR="001E5590" w:rsidRDefault="001E5590" w:rsidP="001E5590">
      <w:pPr>
        <w:ind w:firstLine="720"/>
        <w:jc w:val="both"/>
      </w:pPr>
      <w:r>
        <w:t>Alicia Hutto, SC Bar CLE – Publications Director</w:t>
      </w:r>
    </w:p>
    <w:p w:rsidR="001E5590" w:rsidRDefault="001E5590" w:rsidP="001E5590">
      <w:pPr>
        <w:jc w:val="both"/>
      </w:pPr>
      <w:r>
        <w:t>DATE:</w:t>
      </w:r>
      <w:r>
        <w:tab/>
        <w:t>January 2019</w:t>
      </w:r>
    </w:p>
    <w:p w:rsidR="001E5590" w:rsidRDefault="001E5590" w:rsidP="001E5590">
      <w:pPr>
        <w:jc w:val="both"/>
      </w:pPr>
      <w:r>
        <w:t>RE:</w:t>
      </w:r>
      <w:r>
        <w:tab/>
      </w:r>
      <w:r w:rsidRPr="001E5590">
        <w:rPr>
          <w:i/>
        </w:rPr>
        <w:t>Gordon</w:t>
      </w:r>
      <w:r>
        <w:t xml:space="preserve"> decision</w:t>
      </w:r>
    </w:p>
    <w:p w:rsidR="001E5590" w:rsidRDefault="001E5590" w:rsidP="001E5590">
      <w:pPr>
        <w:jc w:val="both"/>
      </w:pPr>
    </w:p>
    <w:p w:rsidR="001E5590" w:rsidRDefault="001E5590" w:rsidP="001E5590">
      <w:pPr>
        <w:ind w:firstLine="720"/>
        <w:jc w:val="both"/>
      </w:pPr>
      <w:r>
        <w:t xml:space="preserve">As noted in the most recent edition of this Publication, in Chapter 4 on pages 24-25, The South Carolina Supreme Court granted cert in </w:t>
      </w:r>
      <w:r>
        <w:rPr>
          <w:i/>
        </w:rPr>
        <w:t xml:space="preserve">Gordon v. Lancaster </w:t>
      </w:r>
      <w:r>
        <w:t xml:space="preserve">on December 13, 2017. On November 21, 2018 (about ten days after the current edition of this publication arrived from the printer), the South Carolina Supreme Court issued its ruling in </w:t>
      </w:r>
      <w:r>
        <w:rPr>
          <w:i/>
        </w:rPr>
        <w:t>Gordon</w:t>
      </w:r>
      <w:r>
        <w:t>, Op. No. 27847 (S.C. Sup. Ct filed Nov. 21, 2018) (</w:t>
      </w:r>
      <w:proofErr w:type="spellStart"/>
      <w:r>
        <w:t>Shearhouse</w:t>
      </w:r>
      <w:proofErr w:type="spellEnd"/>
      <w:r>
        <w:t xml:space="preserve"> Adv. Sh. No. 46 at 8). In its ruling, the Court addressed the narrow question of whether a creditor may execute on a judgment more than ten years after its enrollment </w:t>
      </w:r>
      <w:r w:rsidRPr="00956994">
        <w:t xml:space="preserve">when the original </w:t>
      </w:r>
      <w:proofErr w:type="gramStart"/>
      <w:r w:rsidRPr="00956994">
        <w:t>time period</w:t>
      </w:r>
      <w:proofErr w:type="gramEnd"/>
      <w:r w:rsidRPr="00956994">
        <w:t xml:space="preserve"> has expired</w:t>
      </w:r>
      <w:r>
        <w:rPr>
          <w:i/>
        </w:rPr>
        <w:t xml:space="preserve"> during the course of litigation.</w:t>
      </w:r>
      <w:r>
        <w:t xml:space="preserve"> (emphasis added). The Court revisited its decision in the </w:t>
      </w:r>
      <w:r>
        <w:rPr>
          <w:i/>
        </w:rPr>
        <w:t>Linda Mc.</w:t>
      </w:r>
      <w:r>
        <w:t xml:space="preserve"> case that, as mentioned earlier, had been applied by the Appellate Courts to potentially extend the life of a judgment beyond the statutory ten-year limit “merely by filing the action within ten years.” </w:t>
      </w:r>
    </w:p>
    <w:p w:rsidR="001E5590" w:rsidRDefault="001E5590" w:rsidP="001E5590">
      <w:pPr>
        <w:ind w:firstLine="720"/>
        <w:jc w:val="both"/>
      </w:pPr>
      <w:r>
        <w:t xml:space="preserve">In </w:t>
      </w:r>
      <w:r>
        <w:rPr>
          <w:i/>
        </w:rPr>
        <w:t>Gordon</w:t>
      </w:r>
      <w:r>
        <w:t xml:space="preserve">, the Court reversed and overruled </w:t>
      </w:r>
      <w:r>
        <w:rPr>
          <w:i/>
        </w:rPr>
        <w:t>Linda Mc.</w:t>
      </w:r>
      <w:r>
        <w:t xml:space="preserve"> to arrive at its ruling. The Court agreed with Lancaster, who argued that </w:t>
      </w:r>
      <w:r>
        <w:rPr>
          <w:i/>
        </w:rPr>
        <w:t>Linda Mc.</w:t>
      </w:r>
      <w:r>
        <w:t xml:space="preserve"> effectively nullifies the statutory ten-year limitation to execute on a judgment in South Carolina. Recall that under </w:t>
      </w:r>
      <w:r>
        <w:rPr>
          <w:i/>
        </w:rPr>
        <w:t>Linda Mc.</w:t>
      </w:r>
      <w:r>
        <w:t xml:space="preserve">, the Court had held that “if a party takes action to enforce a judgment within the ten-year statutory period of active energy, the resulting order will be effective even if issued after the ten-year period has expired.” </w:t>
      </w:r>
      <w:r>
        <w:rPr>
          <w:i/>
        </w:rPr>
        <w:t>Linda Mc.</w:t>
      </w:r>
      <w:r>
        <w:t xml:space="preserve">, 390 S.C. at 543, 703 S.E.2d at 499. </w:t>
      </w:r>
    </w:p>
    <w:p w:rsidR="001E5590" w:rsidRDefault="001E5590" w:rsidP="001E5590">
      <w:pPr>
        <w:ind w:firstLine="720"/>
        <w:jc w:val="both"/>
      </w:pPr>
      <w:r>
        <w:t xml:space="preserve">In </w:t>
      </w:r>
      <w:r w:rsidRPr="00756D9F">
        <w:rPr>
          <w:i/>
        </w:rPr>
        <w:t>Gordon</w:t>
      </w:r>
      <w:r>
        <w:t>, however, t</w:t>
      </w:r>
      <w:r w:rsidRPr="00756D9F">
        <w:t>he</w:t>
      </w:r>
      <w:r>
        <w:t xml:space="preserve"> Court has now held that under the plain language of S.C. Code Ann. Section 15-39-30 (2005), a creditor has ten years to execute on the judgment from the date of its entry, </w:t>
      </w:r>
      <w:proofErr w:type="gramStart"/>
      <w:r>
        <w:t>a time period</w:t>
      </w:r>
      <w:proofErr w:type="gramEnd"/>
      <w:r>
        <w:t xml:space="preserve"> that cannot be renewed, and stated that </w:t>
      </w:r>
      <w:r>
        <w:rPr>
          <w:i/>
        </w:rPr>
        <w:t xml:space="preserve">Linda Mc. </w:t>
      </w:r>
      <w:r>
        <w:t xml:space="preserve"> was a “departure from this Court’s historic approach in analyzing 15-39-30.” The Court decided to overrule </w:t>
      </w:r>
      <w:r>
        <w:rPr>
          <w:i/>
        </w:rPr>
        <w:t>Linda Mc.</w:t>
      </w:r>
      <w:r>
        <w:t xml:space="preserve"> “and return to the traditional bright-line rule.” </w:t>
      </w:r>
    </w:p>
    <w:p w:rsidR="001E5590" w:rsidRPr="00756D9F" w:rsidRDefault="001E5590" w:rsidP="001E5590">
      <w:pPr>
        <w:ind w:firstLine="720"/>
        <w:jc w:val="both"/>
      </w:pPr>
      <w:r>
        <w:t xml:space="preserve">It would appear then, that under </w:t>
      </w:r>
      <w:r>
        <w:rPr>
          <w:i/>
        </w:rPr>
        <w:t>Gordon</w:t>
      </w:r>
      <w:r>
        <w:t xml:space="preserve">, we are back to the traditional treatment of judgment life spans in South Carolina. Just as there is no mechanism to renew a judgment beyond ten years, the mere institution of an action within those ten years by a judgment creditor will not “preserve it beyond the time fixed by the statute, if such time expires before the action is tried.” </w:t>
      </w:r>
      <w:r>
        <w:rPr>
          <w:i/>
        </w:rPr>
        <w:t>Gordon</w:t>
      </w:r>
      <w:r>
        <w:t xml:space="preserve">, citing </w:t>
      </w:r>
      <w:r>
        <w:rPr>
          <w:i/>
        </w:rPr>
        <w:t>Garrison v. Owens</w:t>
      </w:r>
      <w:r>
        <w:t>, 258 S.C. 442, 446-7, 189 S.E.2d 31, 33 (1972).</w:t>
      </w:r>
    </w:p>
    <w:p w:rsidR="001E5590" w:rsidRDefault="001E5590" w:rsidP="001E5590">
      <w:pPr>
        <w:ind w:firstLine="720"/>
        <w:jc w:val="both"/>
        <w:rPr>
          <w:i/>
        </w:rPr>
      </w:pPr>
      <w:r>
        <w:lastRenderedPageBreak/>
        <w:t xml:space="preserve">Bottom line – err on the side of caution. Under </w:t>
      </w:r>
      <w:r>
        <w:rPr>
          <w:i/>
        </w:rPr>
        <w:t>Gordon</w:t>
      </w:r>
      <w:r>
        <w:t xml:space="preserve">, your judgment will not be extended beyond the ten years – “its duration as fixed by the legislature may not be prolonged by the court.” </w:t>
      </w:r>
      <w:r>
        <w:rPr>
          <w:i/>
        </w:rPr>
        <w:t>Id.</w:t>
      </w:r>
    </w:p>
    <w:p w:rsidR="001E5590" w:rsidRPr="00756D9F" w:rsidRDefault="001E5590" w:rsidP="001E5590">
      <w:pPr>
        <w:ind w:firstLine="720"/>
        <w:jc w:val="both"/>
      </w:pPr>
      <w:r>
        <w:t>Justice Hearn wrote the opinion of the majority, and Justices Beatty and Kittredge concurred, along with Justice Few</w:t>
      </w:r>
      <w:r>
        <w:rPr>
          <w:rStyle w:val="FootnoteReference"/>
        </w:rPr>
        <w:footnoteReference w:id="1"/>
      </w:r>
      <w:r>
        <w:t>, who concurred in a separate opinion, and Justice James, who concurred in part and dissented in part in a separate opinion.</w:t>
      </w:r>
    </w:p>
    <w:p w:rsidR="001E5590" w:rsidRDefault="001E5590"/>
    <w:sectPr w:rsidR="001E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E7" w:rsidRDefault="00B37BE7" w:rsidP="001E5590">
      <w:pPr>
        <w:spacing w:after="0" w:line="240" w:lineRule="auto"/>
      </w:pPr>
      <w:r>
        <w:separator/>
      </w:r>
    </w:p>
  </w:endnote>
  <w:endnote w:type="continuationSeparator" w:id="0">
    <w:p w:rsidR="00B37BE7" w:rsidRDefault="00B37BE7" w:rsidP="001E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E7" w:rsidRDefault="00B37BE7" w:rsidP="001E5590">
      <w:pPr>
        <w:spacing w:after="0" w:line="240" w:lineRule="auto"/>
      </w:pPr>
      <w:r>
        <w:separator/>
      </w:r>
    </w:p>
  </w:footnote>
  <w:footnote w:type="continuationSeparator" w:id="0">
    <w:p w:rsidR="00B37BE7" w:rsidRDefault="00B37BE7" w:rsidP="001E5590">
      <w:pPr>
        <w:spacing w:after="0" w:line="240" w:lineRule="auto"/>
      </w:pPr>
      <w:r>
        <w:continuationSeparator/>
      </w:r>
    </w:p>
  </w:footnote>
  <w:footnote w:id="1">
    <w:p w:rsidR="001E5590" w:rsidRPr="008A34CA" w:rsidRDefault="001E5590" w:rsidP="001E5590">
      <w:pPr>
        <w:pStyle w:val="FootnoteText"/>
        <w:ind w:left="720"/>
        <w:jc w:val="both"/>
      </w:pPr>
      <w:r>
        <w:rPr>
          <w:rStyle w:val="FootnoteReference"/>
        </w:rPr>
        <w:footnoteRef/>
      </w:r>
      <w:r>
        <w:t xml:space="preserve"> Justice </w:t>
      </w:r>
      <w:proofErr w:type="spellStart"/>
      <w:r>
        <w:t>Few’s</w:t>
      </w:r>
      <w:proofErr w:type="spellEnd"/>
      <w:r>
        <w:t xml:space="preserve"> separate opinion interestingly states that, while he agrees with the result reached by the majority, he disagrees that the Court should overrule the holding in </w:t>
      </w:r>
      <w:r>
        <w:rPr>
          <w:i/>
        </w:rPr>
        <w:t>Linda Mc.</w:t>
      </w:r>
      <w:r>
        <w:t xml:space="preserve"> In his opinion, the facts of </w:t>
      </w:r>
      <w:r>
        <w:rPr>
          <w:i/>
        </w:rPr>
        <w:t>Gordon</w:t>
      </w:r>
      <w:r>
        <w:t xml:space="preserve"> do not fall within the “narrow exception” created by </w:t>
      </w:r>
      <w:r>
        <w:rPr>
          <w:i/>
        </w:rPr>
        <w:t>Linda Mc.</w:t>
      </w:r>
      <w:r>
        <w:t xml:space="preserve">, and therefore “it is not necessary to our decision in this case that we overrule </w:t>
      </w:r>
      <w:r>
        <w:rPr>
          <w:i/>
        </w:rPr>
        <w:t>Linda Mc.</w:t>
      </w:r>
      <w:r>
        <w:t xml:space="preserve"> Justice Few further states that the “expansive language appear[</w:t>
      </w:r>
      <w:proofErr w:type="spellStart"/>
      <w:r>
        <w:t>ing</w:t>
      </w:r>
      <w:proofErr w:type="spellEnd"/>
      <w:r>
        <w:t xml:space="preserve">] to drastically extend the period of time in which an execution may be issued” in </w:t>
      </w:r>
      <w:r>
        <w:rPr>
          <w:i/>
        </w:rPr>
        <w:t>Linda Mc</w:t>
      </w:r>
      <w:r>
        <w:t xml:space="preserve">. was “not necessary to the decision of the case,” making the statement “dictum” – and therefore not binding authority in the first place.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90"/>
    <w:rsid w:val="001E5590"/>
    <w:rsid w:val="002E2F59"/>
    <w:rsid w:val="007E5CA1"/>
    <w:rsid w:val="00B37BE7"/>
    <w:rsid w:val="00D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9FFC6-E3B8-4EE9-A777-6ED9291D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5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Hutto</dc:creator>
  <cp:keywords/>
  <dc:description/>
  <cp:lastModifiedBy>Jeremy Frazier</cp:lastModifiedBy>
  <cp:revision>2</cp:revision>
  <cp:lastPrinted>2019-01-28T20:18:00Z</cp:lastPrinted>
  <dcterms:created xsi:type="dcterms:W3CDTF">2019-01-31T18:06:00Z</dcterms:created>
  <dcterms:modified xsi:type="dcterms:W3CDTF">2019-01-31T18:06:00Z</dcterms:modified>
</cp:coreProperties>
</file>